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0A075" w14:textId="77777777" w:rsidR="00DE5C3A" w:rsidRDefault="00DE5C3A" w:rsidP="00DE5C3A">
      <w:pPr>
        <w:spacing w:before="100" w:beforeAutospacing="1" w:after="100" w:afterAutospacing="1"/>
        <w:rPr>
          <w:rFonts w:ascii="Arial" w:hAnsi="Arial" w:cs="Arial"/>
          <w:color w:val="002060"/>
          <w:sz w:val="32"/>
          <w:szCs w:val="32"/>
          <w:shd w:val="clear" w:color="auto" w:fill="FFFFFF"/>
        </w:rPr>
      </w:pPr>
      <w:r>
        <w:rPr>
          <w:rFonts w:ascii="Arial" w:hAnsi="Arial" w:cs="Arial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886605" wp14:editId="0278E189">
                <wp:simplePos x="0" y="0"/>
                <wp:positionH relativeFrom="column">
                  <wp:posOffset>777240</wp:posOffset>
                </wp:positionH>
                <wp:positionV relativeFrom="paragraph">
                  <wp:posOffset>10795</wp:posOffset>
                </wp:positionV>
                <wp:extent cx="4343400" cy="1247775"/>
                <wp:effectExtent l="0" t="0" r="19050" b="28575"/>
                <wp:wrapNone/>
                <wp:docPr id="1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0" cy="1247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95CA05" w14:textId="77777777" w:rsidR="00DE5C3A" w:rsidRPr="002237CB" w:rsidRDefault="00DE5C3A" w:rsidP="00DE5C3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2237CB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shd w:val="clear" w:color="auto" w:fill="FFFFFF"/>
                              </w:rPr>
                              <w:t>GIMNASIO LOS PIRINEOS</w:t>
                            </w:r>
                          </w:p>
                          <w:p w14:paraId="3573EE52" w14:textId="77777777" w:rsidR="00DE5C3A" w:rsidRPr="002237CB" w:rsidRDefault="00DE5C3A" w:rsidP="00DE5C3A">
                            <w:pPr>
                              <w:rPr>
                                <w:rFonts w:ascii="Arial" w:hAnsi="Arial" w:cs="Arial"/>
                                <w:b/>
                                <w:color w:val="C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C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    </w:t>
                            </w:r>
                            <w:r w:rsidRPr="002237CB">
                              <w:rPr>
                                <w:rFonts w:ascii="Arial" w:hAnsi="Arial" w:cs="Arial"/>
                                <w:b/>
                                <w:color w:val="C00000"/>
                                <w:sz w:val="28"/>
                                <w:szCs w:val="28"/>
                                <w:shd w:val="clear" w:color="auto" w:fill="FFFFFF"/>
                              </w:rPr>
                              <w:t>Centro Educativo integral de Bogotá- CEIB</w:t>
                            </w:r>
                          </w:p>
                          <w:p w14:paraId="3B8A84B9" w14:textId="77777777" w:rsidR="00DE5C3A" w:rsidRPr="008C4C55" w:rsidRDefault="00DE5C3A" w:rsidP="00DE5C3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      </w:t>
                            </w:r>
                            <w:r w:rsidRPr="008C4C55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“Educación con perspectiva EMPRESARIAL y FINANCIERA </w:t>
                            </w:r>
                          </w:p>
                          <w:p w14:paraId="4C128B3E" w14:textId="77777777" w:rsidR="00DE5C3A" w:rsidRPr="008C4C55" w:rsidRDefault="00DE5C3A" w:rsidP="00DE5C3A">
                            <w:pPr>
                              <w:rPr>
                                <w:rFonts w:ascii="Arial" w:hAnsi="Arial" w:cs="Arial"/>
                                <w:color w:val="0070C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8C4C55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      fundamentada en Valores y en la enseñanza del idioma INGLES”</w:t>
                            </w:r>
                          </w:p>
                          <w:p w14:paraId="7E74A1C9" w14:textId="77777777" w:rsidR="00DE5C3A" w:rsidRDefault="00DE5C3A" w:rsidP="00DE5C3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886605" id="Rectángulo 1" o:spid="_x0000_s1026" style="position:absolute;margin-left:61.2pt;margin-top:.85pt;width:342pt;height:9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" fillcolor="white [3201]" strokecolor="white [3212]" strokeweight="1pt">
                <v:textbox>
                  <w:txbxContent>
                    <w:p w14:paraId="4895CA05" w14:textId="77777777" w:rsidR="00DE5C3A" w:rsidRPr="002237CB" w:rsidRDefault="00DE5C3A" w:rsidP="00DE5C3A">
                      <w:pPr>
                        <w:jc w:val="center"/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2237CB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shd w:val="clear" w:color="auto" w:fill="FFFFFF"/>
                        </w:rPr>
                        <w:t>GIMNASIO LOS PIRINEOS</w:t>
                      </w:r>
                    </w:p>
                    <w:p w14:paraId="3573EE52" w14:textId="77777777" w:rsidR="00DE5C3A" w:rsidRPr="002237CB" w:rsidRDefault="00DE5C3A" w:rsidP="00DE5C3A">
                      <w:pPr>
                        <w:rPr>
                          <w:rFonts w:ascii="Arial" w:hAnsi="Arial" w:cs="Arial"/>
                          <w:b/>
                          <w:color w:val="C00000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C00000"/>
                          <w:sz w:val="28"/>
                          <w:szCs w:val="28"/>
                          <w:shd w:val="clear" w:color="auto" w:fill="FFFFFF"/>
                        </w:rPr>
                        <w:t xml:space="preserve">     </w:t>
                      </w:r>
                      <w:r w:rsidRPr="002237CB">
                        <w:rPr>
                          <w:rFonts w:ascii="Arial" w:hAnsi="Arial" w:cs="Arial"/>
                          <w:b/>
                          <w:color w:val="C00000"/>
                          <w:sz w:val="28"/>
                          <w:szCs w:val="28"/>
                          <w:shd w:val="clear" w:color="auto" w:fill="FFFFFF"/>
                        </w:rPr>
                        <w:t>Centro Educativo integral de Bogotá- CEIB</w:t>
                      </w:r>
                    </w:p>
                    <w:p w14:paraId="3B8A84B9" w14:textId="77777777" w:rsidR="00DE5C3A" w:rsidRPr="008C4C55" w:rsidRDefault="00DE5C3A" w:rsidP="00DE5C3A">
                      <w:pPr>
                        <w:rPr>
                          <w:rFonts w:ascii="Arial" w:hAnsi="Arial" w:cs="Arial"/>
                          <w:b/>
                          <w:bCs/>
                          <w:color w:val="0070C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      </w:t>
                      </w:r>
                      <w:r w:rsidRPr="008C4C55">
                        <w:rPr>
                          <w:rFonts w:ascii="Arial" w:hAnsi="Arial" w:cs="Arial"/>
                          <w:b/>
                          <w:bCs/>
                          <w:color w:val="0070C0"/>
                          <w:sz w:val="20"/>
                          <w:szCs w:val="20"/>
                        </w:rPr>
                        <w:t xml:space="preserve">“Educación con perspectiva EMPRESARIAL y FINANCIERA </w:t>
                      </w:r>
                    </w:p>
                    <w:p w14:paraId="4C128B3E" w14:textId="77777777" w:rsidR="00DE5C3A" w:rsidRPr="008C4C55" w:rsidRDefault="00DE5C3A" w:rsidP="00DE5C3A">
                      <w:pPr>
                        <w:rPr>
                          <w:rFonts w:ascii="Arial" w:hAnsi="Arial" w:cs="Arial"/>
                          <w:color w:val="0070C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8C4C55">
                        <w:rPr>
                          <w:rFonts w:ascii="Arial" w:hAnsi="Arial" w:cs="Arial"/>
                          <w:b/>
                          <w:bCs/>
                          <w:color w:val="0070C0"/>
                          <w:sz w:val="20"/>
                          <w:szCs w:val="20"/>
                        </w:rPr>
                        <w:t xml:space="preserve">      fundamentada en Valores y en la enseñanza del idioma INGLES”</w:t>
                      </w:r>
                    </w:p>
                    <w:p w14:paraId="7E74A1C9" w14:textId="77777777" w:rsidR="00DE5C3A" w:rsidRDefault="00DE5C3A" w:rsidP="00DE5C3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70230">
        <w:rPr>
          <w:noProof/>
          <w:lang w:eastAsia="es-CO"/>
        </w:rPr>
        <w:drawing>
          <wp:anchor distT="0" distB="0" distL="114300" distR="114300" simplePos="0" relativeHeight="251662336" behindDoc="0" locked="0" layoutInCell="1" allowOverlap="1" wp14:anchorId="2FED814C" wp14:editId="45861AAC">
            <wp:simplePos x="647700" y="361950"/>
            <wp:positionH relativeFrom="margin">
              <wp:align>left</wp:align>
            </wp:positionH>
            <wp:positionV relativeFrom="margin">
              <wp:align>top</wp:align>
            </wp:positionV>
            <wp:extent cx="866775" cy="909908"/>
            <wp:effectExtent l="0" t="0" r="0" b="5080"/>
            <wp:wrapSquare wrapText="bothSides"/>
            <wp:docPr id="1" name="Imagen 2" descr="C:\Users\User\OneDrive\(0) PIRINEOS\(15) PIRINEOS ( ESCUDO)\(F-10-9) ESCUDO Pirineos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OneDrive\(0) PIRINEOS\(15) PIRINEOS ( ESCUDO)\(F-10-9) ESCUDO Pirineos 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09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BA1F10" wp14:editId="334675D7">
                <wp:simplePos x="0" y="0"/>
                <wp:positionH relativeFrom="column">
                  <wp:posOffset>5238115</wp:posOffset>
                </wp:positionH>
                <wp:positionV relativeFrom="paragraph">
                  <wp:posOffset>-62865</wp:posOffset>
                </wp:positionV>
                <wp:extent cx="1114425" cy="1104900"/>
                <wp:effectExtent l="0" t="0" r="28575" b="19050"/>
                <wp:wrapNone/>
                <wp:docPr id="17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1104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A0CA43" w14:textId="77777777" w:rsidR="00DE5C3A" w:rsidRDefault="00DE5C3A" w:rsidP="00DE5C3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7CD7C5" wp14:editId="506E5145">
                                  <wp:extent cx="961390" cy="917559"/>
                                  <wp:effectExtent l="0" t="0" r="0" b="0"/>
                                  <wp:docPr id="18" name="Imagen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2253" cy="947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BA1F10" id="Rectángulo 3" o:spid="_x0000_s1027" style="position:absolute;margin-left:412.45pt;margin-top:-4.95pt;width:87.75pt;height:8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" fillcolor="white [3201]" strokecolor="white [3212]" strokeweight="1pt">
                <v:textbox>
                  <w:txbxContent>
                    <w:p w14:paraId="63A0CA43" w14:textId="77777777" w:rsidR="00DE5C3A" w:rsidRDefault="00DE5C3A" w:rsidP="00DE5C3A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07CD7C5" wp14:editId="506E5145">
                            <wp:extent cx="961390" cy="917559"/>
                            <wp:effectExtent l="0" t="0" r="0" b="0"/>
                            <wp:docPr id="18" name="Imagen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2253" cy="9470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color w:val="002060"/>
          <w:sz w:val="32"/>
          <w:szCs w:val="32"/>
          <w:shd w:val="clear" w:color="auto" w:fill="FFFFFF"/>
        </w:rPr>
        <w:t xml:space="preserve">           </w:t>
      </w:r>
    </w:p>
    <w:p w14:paraId="3F596214" w14:textId="77777777" w:rsidR="004D4FD7" w:rsidRDefault="004D4FD7" w:rsidP="004D4FD7"/>
    <w:p w14:paraId="31D58E1F" w14:textId="3EBF3ED9" w:rsidR="004D4FD7" w:rsidRPr="00DE5C3A" w:rsidRDefault="004D4FD7" w:rsidP="00DE5C3A"/>
    <w:p w14:paraId="3272274A" w14:textId="77777777" w:rsidR="00DE5C3A" w:rsidRDefault="004D4FD7" w:rsidP="00D06FCA">
      <w: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65"/>
        <w:gridCol w:w="1676"/>
        <w:gridCol w:w="1086"/>
        <w:gridCol w:w="733"/>
        <w:gridCol w:w="1231"/>
        <w:gridCol w:w="458"/>
        <w:gridCol w:w="980"/>
        <w:gridCol w:w="899"/>
      </w:tblGrid>
      <w:tr w:rsidR="00DE5C3A" w14:paraId="456F4FC6" w14:textId="77777777" w:rsidTr="005303B7">
        <w:tc>
          <w:tcPr>
            <w:tcW w:w="9964" w:type="dxa"/>
            <w:gridSpan w:val="8"/>
            <w:vAlign w:val="center"/>
          </w:tcPr>
          <w:p w14:paraId="75FEA791" w14:textId="77777777" w:rsidR="00DE5C3A" w:rsidRPr="00CC3D1D" w:rsidRDefault="00DE5C3A" w:rsidP="005303B7">
            <w:pPr>
              <w:jc w:val="center"/>
              <w:rPr>
                <w:rFonts w:ascii="Arial" w:hAnsi="Arial" w:cs="Arial"/>
                <w:b/>
              </w:rPr>
            </w:pPr>
            <w:r w:rsidRPr="00CC3D1D">
              <w:rPr>
                <w:rFonts w:ascii="Arial" w:hAnsi="Arial" w:cs="Arial"/>
                <w:b/>
              </w:rPr>
              <w:t>TALLER DE RECUPERACIÓN</w:t>
            </w:r>
          </w:p>
        </w:tc>
      </w:tr>
      <w:tr w:rsidR="00DE5C3A" w14:paraId="6D3DA1C9" w14:textId="77777777" w:rsidTr="005303B7">
        <w:tc>
          <w:tcPr>
            <w:tcW w:w="9964" w:type="dxa"/>
            <w:gridSpan w:val="8"/>
          </w:tcPr>
          <w:p w14:paraId="5A54408F" w14:textId="77777777" w:rsidR="00DE5C3A" w:rsidRPr="00D12771" w:rsidRDefault="00DE5C3A" w:rsidP="005303B7">
            <w:pPr>
              <w:jc w:val="center"/>
              <w:rPr>
                <w:rFonts w:ascii="Arial" w:hAnsi="Arial" w:cs="Arial"/>
              </w:rPr>
            </w:pPr>
            <w:r w:rsidRPr="00B51302">
              <w:rPr>
                <w:rFonts w:ascii="Arial" w:hAnsi="Arial" w:cs="Arial"/>
              </w:rPr>
              <w:t xml:space="preserve">Este taller debe ser realizado en el cuaderno, en perfecto orden. El taller será presentado en la siguiente clase </w:t>
            </w:r>
            <w:r>
              <w:rPr>
                <w:rFonts w:ascii="Arial" w:hAnsi="Arial" w:cs="Arial"/>
              </w:rPr>
              <w:t>o cuando el docente indique y deberá ser sustentado.</w:t>
            </w:r>
          </w:p>
        </w:tc>
      </w:tr>
      <w:tr w:rsidR="00DE5C3A" w14:paraId="160A285B" w14:textId="77777777" w:rsidTr="005303B7">
        <w:tc>
          <w:tcPr>
            <w:tcW w:w="1837" w:type="dxa"/>
            <w:shd w:val="clear" w:color="auto" w:fill="D9D9D9" w:themeFill="background1" w:themeFillShade="D9"/>
            <w:vAlign w:val="center"/>
          </w:tcPr>
          <w:p w14:paraId="7074952D" w14:textId="77777777" w:rsidR="00DE5C3A" w:rsidRPr="00D12771" w:rsidRDefault="00DE5C3A" w:rsidP="005303B7">
            <w:pPr>
              <w:rPr>
                <w:rFonts w:ascii="Arial" w:hAnsi="Arial" w:cs="Arial"/>
              </w:rPr>
            </w:pPr>
            <w:r w:rsidRPr="00D12771">
              <w:rPr>
                <w:rFonts w:ascii="Arial" w:hAnsi="Arial" w:cs="Arial"/>
              </w:rPr>
              <w:t>ASIGNATURA</w:t>
            </w:r>
          </w:p>
        </w:tc>
        <w:tc>
          <w:tcPr>
            <w:tcW w:w="1938" w:type="dxa"/>
          </w:tcPr>
          <w:p w14:paraId="438BD49C" w14:textId="77777777" w:rsidR="00DE5C3A" w:rsidRPr="00FA461F" w:rsidRDefault="00DE5C3A" w:rsidP="005303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ESPAÑOL</w:t>
            </w:r>
          </w:p>
        </w:tc>
        <w:tc>
          <w:tcPr>
            <w:tcW w:w="1133" w:type="dxa"/>
            <w:shd w:val="clear" w:color="auto" w:fill="D9D9D9" w:themeFill="background1" w:themeFillShade="D9"/>
          </w:tcPr>
          <w:p w14:paraId="666848D9" w14:textId="77777777" w:rsidR="00DE5C3A" w:rsidRPr="00D12771" w:rsidRDefault="00DE5C3A" w:rsidP="005303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</w:t>
            </w:r>
          </w:p>
        </w:tc>
        <w:tc>
          <w:tcPr>
            <w:tcW w:w="979" w:type="dxa"/>
          </w:tcPr>
          <w:p w14:paraId="49BFA76A" w14:textId="05C5E7EA" w:rsidR="00DE5C3A" w:rsidRPr="00FA461F" w:rsidRDefault="00656D8E" w:rsidP="005303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231" w:type="dxa"/>
            <w:shd w:val="clear" w:color="auto" w:fill="D9D9D9" w:themeFill="background1" w:themeFillShade="D9"/>
          </w:tcPr>
          <w:p w14:paraId="58866DA4" w14:textId="77777777" w:rsidR="00DE5C3A" w:rsidRPr="00FA461F" w:rsidRDefault="00DE5C3A" w:rsidP="005303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PERIODO</w:t>
            </w:r>
          </w:p>
        </w:tc>
        <w:tc>
          <w:tcPr>
            <w:tcW w:w="532" w:type="dxa"/>
          </w:tcPr>
          <w:p w14:paraId="38290824" w14:textId="77777777" w:rsidR="00DE5C3A" w:rsidRPr="00FA461F" w:rsidRDefault="00DE5C3A" w:rsidP="005303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92A2592" w14:textId="77777777" w:rsidR="00DE5C3A" w:rsidRPr="00FA461F" w:rsidRDefault="00DE5C3A" w:rsidP="005303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FECHA</w:t>
            </w:r>
          </w:p>
        </w:tc>
        <w:tc>
          <w:tcPr>
            <w:tcW w:w="1322" w:type="dxa"/>
          </w:tcPr>
          <w:p w14:paraId="00F01960" w14:textId="77777777" w:rsidR="00DE5C3A" w:rsidRPr="00FA461F" w:rsidRDefault="00DE5C3A" w:rsidP="005303B7">
            <w:pPr>
              <w:jc w:val="center"/>
              <w:rPr>
                <w:rFonts w:ascii="Arial" w:hAnsi="Arial" w:cs="Arial"/>
              </w:rPr>
            </w:pPr>
          </w:p>
        </w:tc>
      </w:tr>
      <w:tr w:rsidR="00DE5C3A" w14:paraId="27391866" w14:textId="77777777" w:rsidTr="005303B7">
        <w:tc>
          <w:tcPr>
            <w:tcW w:w="1837" w:type="dxa"/>
            <w:shd w:val="clear" w:color="auto" w:fill="D9D9D9" w:themeFill="background1" w:themeFillShade="D9"/>
          </w:tcPr>
          <w:p w14:paraId="1EBAF28B" w14:textId="77777777" w:rsidR="00DE5C3A" w:rsidRPr="00D12771" w:rsidRDefault="00DE5C3A" w:rsidP="005303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TEMA</w:t>
            </w:r>
          </w:p>
        </w:tc>
        <w:tc>
          <w:tcPr>
            <w:tcW w:w="8127" w:type="dxa"/>
            <w:gridSpan w:val="7"/>
          </w:tcPr>
          <w:p w14:paraId="04F7886B" w14:textId="6FCDCC01" w:rsidR="00DE5C3A" w:rsidRPr="00FA461F" w:rsidRDefault="00656D8E" w:rsidP="005303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RECUPERACIÓN: LECTURA COMPARATIVA, INTERTEXTUALIDAD, DISCURSO EN MEDIOS DIGITALES, FAKE NEWS, LECTURA MULTIMODAL E INFERENCIA CRÍTICA</w:t>
            </w:r>
          </w:p>
        </w:tc>
      </w:tr>
    </w:tbl>
    <w:p>
      <w:pPr>
        <w:keepNext/>
        <w:shd w:val="clear" w:color="auto" w:fill="002060"/>
        <w:spacing w:before="120" w:after="80"/>
      </w:pPr>
      <w:r>
        <w:rPr>
          <w:rFonts w:ascii="Arial" w:hAnsi="Arial" w:eastAsia="Arial"/>
          <w:b/>
          <w:i w:val="0"/>
          <w:color w:val="FFFFFF"/>
          <w:sz w:val="24"/>
        </w:rPr>
        <w:t xml:space="preserve"> TALLER DE RECUPERACIÓN · GRADO NOVENO · CUARTO PERIODO</w:t>
      </w:r>
    </w:p>
    <w:tbl>
      <w:tblPr>
        <w:tblW w:w="8788" w:type="dxa"/>
        <w:jc w:val="center"/>
        <w:tblBorders>
          <w:top w:val="single" w:sz="12" w:color="0070C0"/>
          <w:left w:val="single" w:sz="12" w:color="0070C0"/>
          <w:bottom w:val="single" w:sz="12" w:color="0070C0"/>
          <w:right w:val="single" w:sz="12" w:color="0070C0"/>
          <w:insideH w:val="single" w:sz="12" w:color="0070C0"/>
          <w:insideV w:val="single" w:sz="12" w:color="0070C0"/>
        </w:tblBorders>
        <w:tblLayout w:type="fixed"/>
        <w:tblCellMar>
          <w:top w:w="80" w:type="dxa"/>
          <w:left w:w="140" w:type="dxa"/>
          <w:bottom w:w="80" w:type="dxa"/>
          <w:right w:w="140" w:type="dxa"/>
        </w:tblCellMar>
        <w:tblLook w:firstColumn="1" w:firstRow="1" w:lastColumn="0" w:lastRow="0" w:noHBand="0" w:noVBand="1" w:val="04A0"/>
      </w:tblPr>
      <w:tblGrid>
        <w:gridCol w:w="8788"/>
      </w:tblGrid>
      <w:tr>
        <w:tc>
          <w:tcPr>
            <w:tcW w:type="dxa" w:w="8787"/>
            <w:shd w:val="clear" w:color="auto" w:fill="DCEBF8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002060"/>
                <w:sz w:val="22"/>
              </w:rPr>
              <w:t>📋 Instrucciones</w:t>
            </w:r>
          </w:p>
          <w:p>
            <w:pPr>
              <w:spacing w:after="40"/>
              <w:jc w:val="both"/>
            </w:pPr>
            <w:r>
              <w:rPr>
                <w:rFonts w:ascii="Arial" w:hAnsi="Arial" w:eastAsia="Arial"/>
                <w:b/>
                <w:i w:val="0"/>
                <w:sz w:val="21"/>
              </w:rPr>
              <w:t>Valor: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el taller vale el </w:t>
            </w:r>
            <w:r>
              <w:rPr>
                <w:rFonts w:ascii="Arial" w:hAnsi="Arial" w:eastAsia="Arial"/>
                <w:b/>
                <w:i w:val="0"/>
                <w:sz w:val="21"/>
              </w:rPr>
              <w:t>100 %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y la </w:t>
            </w:r>
            <w:r>
              <w:rPr>
                <w:rFonts w:ascii="Arial" w:hAnsi="Arial" w:eastAsia="Arial"/>
                <w:b/>
                <w:i w:val="0"/>
                <w:sz w:val="21"/>
              </w:rPr>
              <w:t>sustentación escrita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vale el </w:t>
            </w:r>
            <w:r>
              <w:rPr>
                <w:rFonts w:ascii="Arial" w:hAnsi="Arial" w:eastAsia="Arial"/>
                <w:b/>
                <w:i w:val="0"/>
                <w:sz w:val="21"/>
              </w:rPr>
              <w:t>50 %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.</w:t>
            </w:r>
          </w:p>
          <w:p>
            <w:pPr>
              <w:spacing w:after="40"/>
              <w:jc w:val="both"/>
            </w:pPr>
            <w:r>
              <w:rPr>
                <w:rFonts w:ascii="Arial" w:hAnsi="Arial" w:eastAsia="Arial"/>
                <w:b/>
                <w:i w:val="0"/>
                <w:sz w:val="21"/>
              </w:rPr>
              <w:t>Requisito: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presentar el taller </w:t>
            </w:r>
            <w:r>
              <w:rPr>
                <w:rFonts w:ascii="Arial" w:hAnsi="Arial" w:eastAsia="Arial"/>
                <w:b/>
                <w:i w:val="0"/>
                <w:sz w:val="21"/>
              </w:rPr>
              <w:t>completamente elaborado en el cuaderno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es </w:t>
            </w:r>
            <w:r>
              <w:rPr>
                <w:rFonts w:ascii="Arial" w:hAnsi="Arial" w:eastAsia="Arial"/>
                <w:b/>
                <w:i w:val="0"/>
                <w:sz w:val="21"/>
              </w:rPr>
              <w:t>prerrequisito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para presentar la evaluación (sustentación escrita). Sin taller no se presenta la evaluación.</w:t>
            </w:r>
          </w:p>
          <w:p>
            <w:pPr>
              <w:spacing w:after="40"/>
              <w:jc w:val="both"/>
            </w:pPr>
            <w:r>
              <w:rPr>
                <w:rFonts w:ascii="Arial" w:hAnsi="Arial" w:eastAsia="Arial"/>
                <w:b/>
                <w:i w:val="0"/>
                <w:sz w:val="21"/>
              </w:rPr>
              <w:t>Fecha de entrega: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lunes </w:t>
            </w:r>
            <w:r>
              <w:rPr>
                <w:rFonts w:ascii="Arial" w:hAnsi="Arial" w:eastAsia="Arial"/>
                <w:b/>
                <w:i w:val="0"/>
                <w:sz w:val="21"/>
              </w:rPr>
              <w:t>9 de noviembre de 2026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.</w:t>
            </w:r>
          </w:p>
          <w:p>
            <w:pPr>
              <w:spacing w:after="4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Resuelve los </w:t>
            </w:r>
            <w:r>
              <w:rPr>
                <w:rFonts w:ascii="Arial" w:hAnsi="Arial" w:eastAsia="Arial"/>
                <w:b/>
                <w:i w:val="0"/>
                <w:sz w:val="21"/>
              </w:rPr>
              <w:t>10 puntos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en orden, con letra clara, buena ortografía y respuestas completas, argumentadas y con evidencias del texto; copia los cuadros antes de completarlos. Los sonetos de Garcilaso y Góngora son auténticos; los datos PISA provienen de la OCDE. Las publicaciones, medios, marcas y la columna del punto 10 fueron creados para este taller (son </w:t>
            </w:r>
            <w:r>
              <w:rPr>
                <w:rFonts w:ascii="Arial" w:hAnsi="Arial" w:eastAsia="Arial"/>
                <w:b/>
                <w:i w:val="0"/>
                <w:sz w:val="21"/>
              </w:rPr>
              <w:t>inventados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).</w:t>
            </w:r>
          </w:p>
        </w:tc>
      </w:tr>
    </w:tbl>
    <w:p>
      <w:pPr>
        <w:spacing w:after="0" w:before="0" w:line="100" w:lineRule="exact"/>
      </w:pPr>
      <w:r>
        <w:rPr>
          <w:sz w:val="4"/>
        </w:rPr>
      </w:r>
    </w:p>
    <w:tbl>
      <w:tblPr>
        <w:tblW w:w="8788" w:type="dxa"/>
        <w:jc w:val="center"/>
        <w:tblBorders>
          <w:top w:val="single" w:sz="6" w:color="7F7F7F"/>
          <w:left w:val="single" w:sz="6" w:color="7F7F7F"/>
          <w:bottom w:val="single" w:sz="6" w:color="7F7F7F"/>
          <w:right w:val="single" w:sz="6" w:color="7F7F7F"/>
          <w:insideH w:val="single" w:sz="6" w:color="7F7F7F"/>
          <w:insideV w:val="single" w:sz="6" w:color="7F7F7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firstColumn="1" w:firstRow="1" w:lastColumn="0" w:lastRow="0" w:noHBand="0" w:noVBand="1" w:val="04A0"/>
      </w:tblPr>
      <w:tblGrid>
        <w:gridCol w:w="1134"/>
        <w:gridCol w:w="5953"/>
        <w:gridCol w:w="1701"/>
      </w:tblGrid>
      <w:tr>
        <w:trPr>
          <w:tblHeader/>
        </w:trPr>
        <w:tc>
          <w:tcPr>
            <w:tcW w:type="dxa" w:w="1134"/>
            <w:shd w:val="clear" w:color="auto" w:fill="00206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Bloque</w:t>
            </w:r>
          </w:p>
        </w:tc>
        <w:tc>
          <w:tcPr>
            <w:tcW w:type="dxa" w:w="5953"/>
            <w:shd w:val="clear" w:color="auto" w:fill="00206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Tema</w:t>
            </w:r>
          </w:p>
        </w:tc>
        <w:tc>
          <w:tcPr>
            <w:tcW w:type="dxa" w:w="1701"/>
            <w:shd w:val="clear" w:color="auto" w:fill="00206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Puntos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A</w:t>
            </w:r>
          </w:p>
        </w:tc>
        <w:tc>
          <w:tcPr>
            <w:tcW w:type="dxa" w:w="5953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Lectura comparativa de textos literarios</w:t>
            </w:r>
          </w:p>
        </w:tc>
        <w:tc>
          <w:tcPr>
            <w:tcW w:type="dxa" w:w="1701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1 – 2</w:t>
            </w:r>
          </w:p>
        </w:tc>
      </w:tr>
      <w:tr>
        <w:trPr>
          <w:cantSplit/>
        </w:trPr>
        <w:tc>
          <w:tcPr>
            <w:tcW w:type="dxa" w:w="1134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B</w:t>
            </w:r>
          </w:p>
        </w:tc>
        <w:tc>
          <w:tcPr>
            <w:tcW w:type="dxa" w:w="5953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Intertextualidad</w:t>
            </w:r>
          </w:p>
        </w:tc>
        <w:tc>
          <w:tcPr>
            <w:tcW w:type="dxa" w:w="1701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3 – 4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C</w:t>
            </w:r>
          </w:p>
        </w:tc>
        <w:tc>
          <w:tcPr>
            <w:tcW w:type="dxa" w:w="5953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Análisis del discurso en medios digitales</w:t>
            </w:r>
          </w:p>
        </w:tc>
        <w:tc>
          <w:tcPr>
            <w:tcW w:type="dxa" w:w="1701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5 – 6</w:t>
            </w:r>
          </w:p>
        </w:tc>
      </w:tr>
      <w:tr>
        <w:trPr>
          <w:cantSplit/>
        </w:trPr>
        <w:tc>
          <w:tcPr>
            <w:tcW w:type="dxa" w:w="1134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D</w:t>
            </w:r>
          </w:p>
        </w:tc>
        <w:tc>
          <w:tcPr>
            <w:tcW w:type="dxa" w:w="5953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Fake news</w:t>
            </w:r>
          </w:p>
        </w:tc>
        <w:tc>
          <w:tcPr>
            <w:tcW w:type="dxa" w:w="1701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7 – 8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E</w:t>
            </w:r>
          </w:p>
        </w:tc>
        <w:tc>
          <w:tcPr>
            <w:tcW w:type="dxa" w:w="5953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Lectura multimodal</w:t>
            </w:r>
          </w:p>
        </w:tc>
        <w:tc>
          <w:tcPr>
            <w:tcW w:type="dxa" w:w="1701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9</w:t>
            </w:r>
          </w:p>
        </w:tc>
      </w:tr>
      <w:tr>
        <w:trPr>
          <w:cantSplit/>
        </w:trPr>
        <w:tc>
          <w:tcPr>
            <w:tcW w:type="dxa" w:w="1134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F</w:t>
            </w:r>
          </w:p>
        </w:tc>
        <w:tc>
          <w:tcPr>
            <w:tcW w:type="dxa" w:w="5953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Inferencia y niveles de lectura crítica</w:t>
            </w:r>
          </w:p>
        </w:tc>
        <w:tc>
          <w:tcPr>
            <w:tcW w:type="dxa" w:w="1701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10</w:t>
            </w:r>
          </w:p>
        </w:tc>
      </w:tr>
    </w:tbl>
    <w:p>
      <w:pPr>
        <w:spacing w:after="0" w:before="0" w:line="100" w:lineRule="exact"/>
      </w:pPr>
      <w:r>
        <w:rPr>
          <w:sz w:val="4"/>
        </w:rPr>
      </w:r>
    </w:p>
    <w:p>
      <w:pPr>
        <w:keepNext/>
        <w:shd w:val="clear" w:color="auto" w:fill="0070C0"/>
        <w:spacing w:before="120" w:after="80"/>
      </w:pPr>
      <w:r>
        <w:rPr>
          <w:rFonts w:ascii="Arial" w:hAnsi="Arial" w:eastAsia="Arial"/>
          <w:b/>
          <w:i w:val="0"/>
          <w:color w:val="FFFFFF"/>
          <w:sz w:val="24"/>
        </w:rPr>
        <w:t xml:space="preserve"> BLOQUE A · LECTURA COMPARATIVA DE TEXTOS LITERARIOS</w:t>
      </w:r>
    </w:p>
    <w:p>
      <w:pPr>
        <w:spacing w:before="0" w:after="80" w:line="259" w:lineRule="auto"/>
        <w:jc w:val="both"/>
      </w:pPr>
      <w:r>
        <w:rPr>
          <w:rFonts w:ascii="Arial" w:hAnsi="Arial" w:eastAsia="Arial"/>
          <w:b w:val="0"/>
          <w:i w:val="0"/>
          <w:sz w:val="22"/>
        </w:rPr>
        <w:t xml:space="preserve">Lee los dos sonetos. Ambos desarrollan el tópico </w:t>
      </w:r>
      <w:r>
        <w:rPr>
          <w:rFonts w:ascii="Arial" w:hAnsi="Arial" w:eastAsia="Arial"/>
          <w:b w:val="0"/>
          <w:i/>
          <w:sz w:val="22"/>
        </w:rPr>
        <w:t>carpe diem</w:t>
      </w:r>
      <w:r>
        <w:rPr>
          <w:rFonts w:ascii="Arial" w:hAnsi="Arial" w:eastAsia="Arial"/>
          <w:b w:val="0"/>
          <w:i w:val="0"/>
          <w:sz w:val="22"/>
        </w:rPr>
        <w:t xml:space="preserve"> («aprovecha el día»), pero uno pertenece al </w:t>
      </w:r>
      <w:r>
        <w:rPr>
          <w:rFonts w:ascii="Arial" w:hAnsi="Arial" w:eastAsia="Arial"/>
          <w:b/>
          <w:i w:val="0"/>
          <w:sz w:val="22"/>
        </w:rPr>
        <w:t>Renacimiento</w:t>
      </w:r>
      <w:r>
        <w:rPr>
          <w:rFonts w:ascii="Arial" w:hAnsi="Arial" w:eastAsia="Arial"/>
          <w:b w:val="0"/>
          <w:i w:val="0"/>
          <w:sz w:val="22"/>
        </w:rPr>
        <w:t xml:space="preserve"> y el otro al </w:t>
      </w:r>
      <w:r>
        <w:rPr>
          <w:rFonts w:ascii="Arial" w:hAnsi="Arial" w:eastAsia="Arial"/>
          <w:b/>
          <w:i w:val="0"/>
          <w:sz w:val="22"/>
        </w:rPr>
        <w:t>Barroco</w:t>
      </w:r>
      <w:r>
        <w:rPr>
          <w:rFonts w:ascii="Arial" w:hAnsi="Arial" w:eastAsia="Arial"/>
          <w:b w:val="0"/>
          <w:i w:val="0"/>
          <w:sz w:val="22"/>
        </w:rPr>
        <w:t>. Resuelve los puntos 1 y 2.</w:t>
      </w:r>
    </w:p>
    <w:tbl>
      <w:tblPr>
        <w:tblW w:w="8788" w:type="dxa"/>
        <w:tblBorders>
          <w:top w:val="single" w:sz="8" w:color="E07B00"/>
          <w:left w:val="single" w:sz="8" w:color="E07B00"/>
          <w:bottom w:val="single" w:sz="8" w:color="E07B00"/>
          <w:right w:val="single" w:sz="8" w:color="E07B00"/>
          <w:insideH w:val="single" w:sz="8" w:color="E07B00"/>
          <w:insideV w:val="single" w:sz="8" w:color="E07B00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firstColumn="1" w:firstRow="1" w:lastColumn="0" w:lastRow="0" w:noHBand="0" w:noVBand="1" w:val="04A0"/>
      </w:tblPr>
      <w:tblGrid>
        <w:gridCol w:w="4394"/>
        <w:gridCol w:w="4394"/>
      </w:tblGrid>
      <w:tr>
        <w:tc>
          <w:tcPr>
            <w:tcW w:type="dxa" w:w="4394"/>
            <w:shd w:val="clear" w:color="auto" w:fill="FFF6E5"/>
          </w:tcPr>
          <w:p>
            <w:pPr>
              <w:spacing w:after="20" w:line="252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Texto A · Garcilaso de la Vega, Soneto XXIII (s. XVI)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En tanto que de rosa y azucena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se muestra la color en vuestro gesto,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y que vuestro mirar ardiente, honesto,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con clara luz la tempestad serena;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y en tanto que el cabello, que en la vena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del oro se escogió, con vuelo presto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por el hermoso cuello blanco, enhiesto,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el viento mueve, esparce y desordena: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coged de vuestra alegre primavera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el dulce fruto antes que el tiempo airado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cubra de nieve la hermosa cumbre.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Marchitará la rosa el viento helado,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todo lo mudará la edad ligera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por no hacer mudanza en su costumbre.</w:t>
            </w:r>
          </w:p>
        </w:tc>
        <w:tc>
          <w:tcPr>
            <w:tcW w:type="dxa" w:w="4394"/>
            <w:shd w:val="clear" w:color="auto" w:fill="E9F5EC"/>
          </w:tcPr>
          <w:p>
            <w:pPr>
              <w:spacing w:after="20" w:line="252" w:lineRule="auto"/>
            </w:pPr>
            <w:r>
              <w:rPr>
                <w:rFonts w:ascii="Arial" w:hAnsi="Arial" w:eastAsia="Arial"/>
                <w:b/>
                <w:i w:val="0"/>
                <w:sz w:val="19"/>
              </w:rPr>
              <w:t>Texto B · Luis de Góngora, «Mientras por competir con tu cabello» (1582)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Mientras por competir con tu cabello,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oro bruñido al sol relumbra en vano;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mientras con menosprecio en medio el llano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mira tu blanca frente el lilio bello;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mientras a cada labio, por cogello,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siguen más ojos que al clavel temprano,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y mientras triunfa con desdén lozano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del luciente cristal tu gentil cuello;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goza cuello, cabello, labio y frente,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antes que lo que fue en tu edad dorada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oro, lilio, clavel, cristal luciente,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no solo en plata o víola troncada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se vuelva, mas tú y ello juntamente</w:t>
            </w:r>
          </w:p>
          <w:p>
            <w:pPr>
              <w:spacing w:after="20" w:line="252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en tierra, en humo, en polvo, en sombra, en nada.</w:t>
            </w:r>
          </w:p>
        </w:tc>
      </w:tr>
    </w:tbl>
    <w:p>
      <w:pPr>
        <w:spacing w:after="0" w:before="0" w:line="120" w:lineRule="exact"/>
      </w:pPr>
      <w:r>
        <w:rPr>
          <w:sz w:val="4"/>
        </w:rPr>
      </w: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623"/>
        <w:gridCol w:w="8164"/>
      </w:tblGrid>
      <w:tr>
        <w:trPr>
          <w:cantSplit/>
        </w:trPr>
        <w:tc>
          <w:tcPr>
            <w:tcW w:type="dxa" w:w="624"/>
            <w:shd w:val="clear" w:color="auto" w:fill="C00000"/>
          </w:tcPr>
          <w:p>
            <w:pPr>
              <w:keepNext/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1</w:t>
            </w:r>
          </w:p>
        </w:tc>
        <w:tc>
          <w:tcPr>
            <w:tcW w:type="dxa" w:w="8164"/>
          </w:tcPr>
          <w:p>
            <w:pPr>
              <w:keepNext/>
              <w:spacing w:after="2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Completa el </w:t>
            </w:r>
            <w:r>
              <w:rPr>
                <w:rFonts w:ascii="Arial" w:hAnsi="Arial" w:eastAsia="Arial"/>
                <w:b/>
                <w:i w:val="0"/>
                <w:sz w:val="21"/>
              </w:rPr>
              <w:t>cuadro comparativo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con evidencias textuales (cita los versos):</w:t>
            </w:r>
          </w:p>
        </w:tc>
      </w:tr>
    </w:tbl>
    <w:p>
      <w:pPr>
        <w:keepNext/>
        <w:spacing w:after="0" w:before="0" w:line="40" w:lineRule="exact"/>
      </w:pPr>
      <w:r>
        <w:rPr>
          <w:sz w:val="4"/>
        </w:rPr>
      </w:r>
    </w:p>
    <w:tbl>
      <w:tblPr>
        <w:tblW w:w="8788" w:type="dxa"/>
        <w:jc w:val="center"/>
        <w:tblBorders>
          <w:top w:val="single" w:sz="6" w:color="7F7F7F"/>
          <w:left w:val="single" w:sz="6" w:color="7F7F7F"/>
          <w:bottom w:val="single" w:sz="6" w:color="7F7F7F"/>
          <w:right w:val="single" w:sz="6" w:color="7F7F7F"/>
          <w:insideH w:val="single" w:sz="6" w:color="7F7F7F"/>
          <w:insideV w:val="single" w:sz="6" w:color="7F7F7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firstColumn="1" w:firstRow="1" w:lastColumn="0" w:lastRow="0" w:noHBand="0" w:noVBand="1" w:val="04A0"/>
      </w:tblPr>
      <w:tblGrid>
        <w:gridCol w:w="3118"/>
        <w:gridCol w:w="2835"/>
        <w:gridCol w:w="2835"/>
      </w:tblGrid>
      <w:tr>
        <w:trPr>
          <w:tblHeader/>
        </w:trPr>
        <w:tc>
          <w:tcPr>
            <w:tcW w:type="dxa" w:w="3118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Aspecto</w:t>
            </w:r>
          </w:p>
        </w:tc>
        <w:tc>
          <w:tcPr>
            <w:tcW w:type="dxa" w:w="2835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Garcilaso (Renacimiento)</w:t>
            </w:r>
          </w:p>
        </w:tc>
        <w:tc>
          <w:tcPr>
            <w:tcW w:type="dxa" w:w="2835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Góngora (Barroco)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8"/>
              </w:rPr>
              <w:t>Estructura del soneto (cuartetos: descripción / tercetos: consejo)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</w:p>
        </w:tc>
        <w:tc>
          <w:tcPr>
            <w:tcW w:type="dxa" w:w="2835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3118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8"/>
              </w:rPr>
              <w:t>Imágenes de la belleza (metáforas de colores y materiales)</w:t>
            </w:r>
          </w:p>
        </w:tc>
        <w:tc>
          <w:tcPr>
            <w:tcW w:type="dxa" w:w="2835"/>
            <w:shd w:val="clear" w:color="auto" w:fill="EEF4FB"/>
          </w:tcPr>
          <w:p>
            <w:pPr>
              <w:spacing w:after="0" w:line="240" w:lineRule="auto"/>
            </w:pPr>
          </w:p>
        </w:tc>
        <w:tc>
          <w:tcPr>
            <w:tcW w:type="dxa" w:w="2835"/>
            <w:shd w:val="clear" w:color="auto" w:fill="EEF4FB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8"/>
              </w:rPr>
              <w:t>Conector que organiza la descripción (en tanto que / mientras)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</w:p>
        </w:tc>
        <w:tc>
          <w:tcPr>
            <w:tcW w:type="dxa" w:w="2835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3118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8"/>
              </w:rPr>
              <w:t>Visión del paso del tiempo</w:t>
            </w:r>
          </w:p>
        </w:tc>
        <w:tc>
          <w:tcPr>
            <w:tcW w:type="dxa" w:w="2835"/>
            <w:shd w:val="clear" w:color="auto" w:fill="EEF4FB"/>
          </w:tcPr>
          <w:p>
            <w:pPr>
              <w:spacing w:after="0" w:line="240" w:lineRule="auto"/>
            </w:pPr>
          </w:p>
        </w:tc>
        <w:tc>
          <w:tcPr>
            <w:tcW w:type="dxa" w:w="2835"/>
            <w:shd w:val="clear" w:color="auto" w:fill="EEF4FB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8"/>
              </w:rPr>
              <w:t>Último verso: ¿qué destino espera a la juventud?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</w:p>
        </w:tc>
        <w:tc>
          <w:tcPr>
            <w:tcW w:type="dxa" w:w="2835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3118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8"/>
              </w:rPr>
              <w:t>Tono y visión del mundo (armonía / desengaño)</w:t>
            </w:r>
          </w:p>
        </w:tc>
        <w:tc>
          <w:tcPr>
            <w:tcW w:type="dxa" w:w="2835"/>
            <w:shd w:val="clear" w:color="auto" w:fill="EEF4FB"/>
          </w:tcPr>
          <w:p>
            <w:pPr>
              <w:spacing w:after="0" w:line="240" w:lineRule="auto"/>
            </w:pPr>
          </w:p>
        </w:tc>
        <w:tc>
          <w:tcPr>
            <w:tcW w:type="dxa" w:w="2835"/>
            <w:shd w:val="clear" w:color="auto" w:fill="EEF4FB"/>
          </w:tcPr>
          <w:p>
            <w:pPr>
              <w:spacing w:after="0" w:line="240" w:lineRule="auto"/>
            </w:pPr>
          </w:p>
        </w:tc>
      </w:tr>
    </w:tbl>
    <w:p>
      <w:pPr>
        <w:spacing w:after="0" w:before="0" w:line="100" w:lineRule="exact"/>
      </w:pPr>
      <w:r>
        <w:rPr>
          <w:sz w:val="4"/>
        </w:rPr>
      </w: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623"/>
        <w:gridCol w:w="8164"/>
      </w:tblGrid>
      <w:tr>
        <w:trPr>
          <w:cantSplit/>
        </w:trPr>
        <w:tc>
          <w:tcPr>
            <w:tcW w:type="dxa" w:w="624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2</w:t>
            </w:r>
          </w:p>
        </w:tc>
        <w:tc>
          <w:tcPr>
            <w:tcW w:type="dxa" w:w="8164"/>
          </w:tcPr>
          <w:p>
            <w:pPr>
              <w:spacing w:after="2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Escribe un </w:t>
            </w:r>
            <w:r>
              <w:rPr>
                <w:rFonts w:ascii="Arial" w:hAnsi="Arial" w:eastAsia="Arial"/>
                <w:b/>
                <w:i w:val="0"/>
                <w:sz w:val="21"/>
              </w:rPr>
              <w:t>ensayo comparativo breve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(mínimo una página) con esta estructura: introducción con </w:t>
            </w:r>
            <w:r>
              <w:rPr>
                <w:rFonts w:ascii="Arial" w:hAnsi="Arial" w:eastAsia="Arial"/>
                <w:b/>
                <w:i w:val="0"/>
                <w:sz w:val="21"/>
              </w:rPr>
              <w:t>tesis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sobre la diferencia esencial entre los dos sonetos; dos párrafos de desarrollo (uno sobre las imágenes y otro sobre el final de cada poema, en especial la </w:t>
            </w:r>
            <w:r>
              <w:rPr>
                <w:rFonts w:ascii="Arial" w:hAnsi="Arial" w:eastAsia="Arial"/>
                <w:b/>
                <w:i w:val="0"/>
                <w:sz w:val="21"/>
              </w:rPr>
              <w:t>gradación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«en tierra, en humo, en polvo, en sombra, en nada»); y una conclusión que relacione cada texto con la visión del mundo de su época (Renacimiento y Barroco).</w:t>
            </w:r>
          </w:p>
        </w:tc>
      </w:tr>
    </w:tbl>
    <w:p>
      <w:pPr>
        <w:spacing w:after="0" w:before="0" w:line="80" w:lineRule="exact"/>
      </w:pPr>
      <w:r>
        <w:rPr>
          <w:sz w:val="4"/>
        </w:rPr>
      </w:r>
    </w:p>
    <w:p>
      <w:pPr>
        <w:keepNext/>
        <w:shd w:val="clear" w:color="auto" w:fill="0070C0"/>
        <w:spacing w:before="120" w:after="80"/>
      </w:pPr>
      <w:r>
        <w:rPr>
          <w:rFonts w:ascii="Arial" w:hAnsi="Arial" w:eastAsia="Arial"/>
          <w:b/>
          <w:i w:val="0"/>
          <w:color w:val="FFFFFF"/>
          <w:sz w:val="24"/>
        </w:rPr>
        <w:t xml:space="preserve"> BLOQUE B · INTERTEXTUALIDAD</w:t>
      </w:r>
    </w:p>
    <w:tbl>
      <w:tblPr>
        <w:tblW w:w="8788" w:type="dxa"/>
        <w:jc w:val="center"/>
        <w:tblBorders>
          <w:top w:val="single" w:sz="12" w:color="7030A0"/>
          <w:left w:val="single" w:sz="12" w:color="7030A0"/>
          <w:bottom w:val="single" w:sz="12" w:color="7030A0"/>
          <w:right w:val="single" w:sz="12" w:color="7030A0"/>
          <w:insideH w:val="single" w:sz="12" w:color="7030A0"/>
          <w:insideV w:val="single" w:sz="12" w:color="7030A0"/>
        </w:tblBorders>
        <w:tblLayout w:type="fixed"/>
        <w:tblCellMar>
          <w:top w:w="80" w:type="dxa"/>
          <w:left w:w="140" w:type="dxa"/>
          <w:bottom w:w="80" w:type="dxa"/>
          <w:right w:w="140" w:type="dxa"/>
        </w:tblCellMar>
        <w:tblLook w:firstColumn="1" w:firstRow="1" w:lastColumn="0" w:lastRow="0" w:noHBand="0" w:noVBand="1" w:val="04A0"/>
      </w:tblPr>
      <w:tblGrid>
        <w:gridCol w:w="8788"/>
      </w:tblGrid>
      <w:tr>
        <w:tc>
          <w:tcPr>
            <w:tcW w:type="dxa" w:w="8787"/>
            <w:shd w:val="clear" w:color="auto" w:fill="EADCF4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002060"/>
                <w:sz w:val="22"/>
              </w:rPr>
              <w:t>💡 Para recordar · Las relaciones transtextuales según Gérard Genette</w:t>
            </w:r>
          </w:p>
          <w:p>
            <w:pPr>
              <w:spacing w:after="40"/>
              <w:jc w:val="both"/>
            </w:pPr>
            <w:r>
              <w:rPr>
                <w:rFonts w:ascii="Arial" w:hAnsi="Arial" w:eastAsia="Arial"/>
                <w:b/>
                <w:i w:val="0"/>
                <w:sz w:val="21"/>
              </w:rPr>
              <w:t>Intertextualidad: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presencia de un texto en otro (cita, alusión, plagio). </w:t>
            </w:r>
            <w:r>
              <w:rPr>
                <w:rFonts w:ascii="Arial" w:hAnsi="Arial" w:eastAsia="Arial"/>
                <w:b/>
                <w:i w:val="0"/>
                <w:sz w:val="21"/>
              </w:rPr>
              <w:t>Paratextualidad: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relación con títulos, epígrafes, prólogos, notas. </w:t>
            </w:r>
            <w:r>
              <w:rPr>
                <w:rFonts w:ascii="Arial" w:hAnsi="Arial" w:eastAsia="Arial"/>
                <w:b/>
                <w:i w:val="0"/>
                <w:sz w:val="21"/>
              </w:rPr>
              <w:t>Metatextualidad: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un texto comenta o critica a otro (reseña, ensayo). </w:t>
            </w:r>
            <w:r>
              <w:rPr>
                <w:rFonts w:ascii="Arial" w:hAnsi="Arial" w:eastAsia="Arial"/>
                <w:b/>
                <w:i w:val="0"/>
                <w:sz w:val="21"/>
              </w:rPr>
              <w:t>Hipertextualidad: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un texto nuevo (</w:t>
            </w:r>
            <w:r>
              <w:rPr>
                <w:rFonts w:ascii="Arial" w:hAnsi="Arial" w:eastAsia="Arial"/>
                <w:b/>
                <w:i w:val="0"/>
                <w:sz w:val="21"/>
              </w:rPr>
              <w:t>hipertexto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) se construye transformando o imitando uno anterior (</w:t>
            </w:r>
            <w:r>
              <w:rPr>
                <w:rFonts w:ascii="Arial" w:hAnsi="Arial" w:eastAsia="Arial"/>
                <w:b/>
                <w:i w:val="0"/>
                <w:sz w:val="21"/>
              </w:rPr>
              <w:t>hipotexto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): parodia, pastiche, adaptación. </w:t>
            </w:r>
            <w:r>
              <w:rPr>
                <w:rFonts w:ascii="Arial" w:hAnsi="Arial" w:eastAsia="Arial"/>
                <w:b/>
                <w:i w:val="0"/>
                <w:sz w:val="21"/>
              </w:rPr>
              <w:t>Architextualidad: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relación de un texto con el género al que pertenece.</w:t>
            </w:r>
          </w:p>
        </w:tc>
      </w:tr>
    </w:tbl>
    <w:p>
      <w:pPr>
        <w:spacing w:after="0" w:before="0" w:line="100" w:lineRule="exact"/>
      </w:pPr>
      <w:r>
        <w:rPr>
          <w:sz w:val="4"/>
        </w:rPr>
      </w: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623"/>
        <w:gridCol w:w="8164"/>
      </w:tblGrid>
      <w:tr>
        <w:trPr>
          <w:cantSplit/>
        </w:trPr>
        <w:tc>
          <w:tcPr>
            <w:tcW w:type="dxa" w:w="624"/>
            <w:shd w:val="clear" w:color="auto" w:fill="C00000"/>
          </w:tcPr>
          <w:p>
            <w:pPr>
              <w:keepNext/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3</w:t>
            </w:r>
          </w:p>
        </w:tc>
        <w:tc>
          <w:tcPr>
            <w:tcW w:type="dxa" w:w="8164"/>
          </w:tcPr>
          <w:p>
            <w:pPr>
              <w:keepNext/>
              <w:spacing w:after="2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a) Garcilaso imitó a poetas latinos (Ausonio, Horacio) y Góngora retomó el soneto de Garcilaso. Explica esta relación usando los términos </w:t>
            </w:r>
            <w:r>
              <w:rPr>
                <w:rFonts w:ascii="Arial" w:hAnsi="Arial" w:eastAsia="Arial"/>
                <w:b/>
                <w:i w:val="0"/>
                <w:sz w:val="21"/>
              </w:rPr>
              <w:t>hipotexto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e </w:t>
            </w:r>
            <w:r>
              <w:rPr>
                <w:rFonts w:ascii="Arial" w:hAnsi="Arial" w:eastAsia="Arial"/>
                <w:b/>
                <w:i w:val="0"/>
                <w:sz w:val="21"/>
              </w:rPr>
              <w:t>hipertexto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: ¿qué conserva Góngora de Garcilaso y qué transforma? ¿Por qué se dice que Góngora «radicaliza» el tópico?</w:t>
            </w:r>
          </w:p>
          <w:p>
            <w:pPr>
              <w:keepNext/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b) Clasifica cada caso según el tipo de relación transtextual de Genette:</w:t>
            </w:r>
          </w:p>
        </w:tc>
      </w:tr>
    </w:tbl>
    <w:p>
      <w:pPr>
        <w:keepNext/>
        <w:spacing w:after="0" w:before="0" w:line="40" w:lineRule="exact"/>
      </w:pPr>
      <w:r>
        <w:rPr>
          <w:sz w:val="4"/>
        </w:rPr>
      </w:r>
    </w:p>
    <w:tbl>
      <w:tblPr>
        <w:tblW w:w="8788" w:type="dxa"/>
        <w:jc w:val="center"/>
        <w:tblBorders>
          <w:top w:val="single" w:sz="6" w:color="7F7F7F"/>
          <w:left w:val="single" w:sz="6" w:color="7F7F7F"/>
          <w:bottom w:val="single" w:sz="6" w:color="7F7F7F"/>
          <w:right w:val="single" w:sz="6" w:color="7F7F7F"/>
          <w:insideH w:val="single" w:sz="6" w:color="7F7F7F"/>
          <w:insideV w:val="single" w:sz="6" w:color="7F7F7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firstColumn="1" w:firstRow="1" w:lastColumn="0" w:lastRow="0" w:noHBand="0" w:noVBand="1" w:val="04A0"/>
      </w:tblPr>
      <w:tblGrid>
        <w:gridCol w:w="6520"/>
        <w:gridCol w:w="2268"/>
      </w:tblGrid>
      <w:tr>
        <w:trPr>
          <w:tblHeader/>
        </w:trPr>
        <w:tc>
          <w:tcPr>
            <w:tcW w:type="dxa" w:w="6520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Caso</w:t>
            </w:r>
          </w:p>
        </w:tc>
        <w:tc>
          <w:tcPr>
            <w:tcW w:type="dxa" w:w="2268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Tipo de relación</w:t>
            </w:r>
          </w:p>
        </w:tc>
      </w:tr>
      <w:tr>
        <w:trPr>
          <w:cantSplit/>
        </w:trPr>
        <w:tc>
          <w:tcPr>
            <w:tcW w:type="dxa" w:w="6520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1) Una novela comienza con un verso de Bécquer como epígrafe.</w:t>
            </w:r>
          </w:p>
        </w:tc>
        <w:tc>
          <w:tcPr>
            <w:tcW w:type="dxa" w:w="2268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6520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 xml:space="preserve">2) Un crítico publica una reseña sobre </w:t>
            </w:r>
            <w:r>
              <w:rPr>
                <w:rFonts w:ascii="Arial" w:hAnsi="Arial" w:eastAsia="Arial"/>
                <w:b w:val="0"/>
                <w:i/>
                <w:sz w:val="19"/>
              </w:rPr>
              <w:t>Cien años de soledad</w:t>
            </w:r>
            <w:r>
              <w:rPr>
                <w:rFonts w:ascii="Arial" w:hAnsi="Arial" w:eastAsia="Arial"/>
                <w:b w:val="0"/>
                <w:i w:val="0"/>
                <w:sz w:val="19"/>
              </w:rPr>
              <w:t>.</w:t>
            </w:r>
          </w:p>
        </w:tc>
        <w:tc>
          <w:tcPr>
            <w:tcW w:type="dxa" w:w="2268"/>
            <w:shd w:val="clear" w:color="auto" w:fill="EEF4FB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6520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 xml:space="preserve">3) Una película traslada la </w:t>
            </w:r>
            <w:r>
              <w:rPr>
                <w:rFonts w:ascii="Arial" w:hAnsi="Arial" w:eastAsia="Arial"/>
                <w:b w:val="0"/>
                <w:i/>
                <w:sz w:val="19"/>
              </w:rPr>
              <w:t>Odisea</w:t>
            </w:r>
            <w:r>
              <w:rPr>
                <w:rFonts w:ascii="Arial" w:hAnsi="Arial" w:eastAsia="Arial"/>
                <w:b w:val="0"/>
                <w:i w:val="0"/>
                <w:sz w:val="19"/>
              </w:rPr>
              <w:t xml:space="preserve"> al sur de Estados Unidos en los años treinta.</w:t>
            </w:r>
          </w:p>
        </w:tc>
        <w:tc>
          <w:tcPr>
            <w:tcW w:type="dxa" w:w="2268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6520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4) Un poema incluye entre comillas el verso «¡no volverán!».</w:t>
            </w:r>
          </w:p>
        </w:tc>
        <w:tc>
          <w:tcPr>
            <w:tcW w:type="dxa" w:w="2268"/>
            <w:shd w:val="clear" w:color="auto" w:fill="EEF4FB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6520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5) En la portada de un libro aparece la palabra «Novela» bajo el título.</w:t>
            </w:r>
          </w:p>
        </w:tc>
        <w:tc>
          <w:tcPr>
            <w:tcW w:type="dxa" w:w="2268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6520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9"/>
              </w:rPr>
              <w:t>6) Un meme convierte «Ser o no ser» en «Estudiar o no estudiar, esa es la cuestión».</w:t>
            </w:r>
          </w:p>
        </w:tc>
        <w:tc>
          <w:tcPr>
            <w:tcW w:type="dxa" w:w="2268"/>
            <w:shd w:val="clear" w:color="auto" w:fill="EEF4FB"/>
          </w:tcPr>
          <w:p>
            <w:pPr>
              <w:spacing w:after="0" w:line="240" w:lineRule="auto"/>
            </w:pPr>
          </w:p>
        </w:tc>
      </w:tr>
    </w:tbl>
    <w:p>
      <w:pPr>
        <w:spacing w:after="0" w:before="0" w:line="100" w:lineRule="exact"/>
      </w:pPr>
      <w:r>
        <w:rPr>
          <w:sz w:val="4"/>
        </w:rPr>
      </w: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623"/>
        <w:gridCol w:w="8164"/>
      </w:tblGrid>
      <w:tr>
        <w:trPr>
          <w:cantSplit/>
        </w:trPr>
        <w:tc>
          <w:tcPr>
            <w:tcW w:type="dxa" w:w="624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4</w:t>
            </w:r>
          </w:p>
        </w:tc>
        <w:tc>
          <w:tcPr>
            <w:tcW w:type="dxa" w:w="8164"/>
          </w:tcPr>
          <w:p>
            <w:pPr>
              <w:spacing w:after="20"/>
              <w:jc w:val="both"/>
            </w:pPr>
            <w:r>
              <w:rPr>
                <w:rFonts w:ascii="Arial" w:hAnsi="Arial" w:eastAsia="Arial"/>
                <w:b/>
                <w:i w:val="0"/>
                <w:sz w:val="21"/>
              </w:rPr>
              <w:t>Producción hipertextual.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Escribe un </w:t>
            </w:r>
            <w:r>
              <w:rPr>
                <w:rFonts w:ascii="Arial" w:hAnsi="Arial" w:eastAsia="Arial"/>
                <w:b/>
                <w:i w:val="0"/>
                <w:sz w:val="21"/>
              </w:rPr>
              <w:t>hipertexto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del soneto de Góngora para el siglo XXI (un poema, la letra de una canción o un hilo de una red social) en el que el tópico </w:t>
            </w:r>
            <w:r>
              <w:rPr>
                <w:rFonts w:ascii="Arial" w:hAnsi="Arial" w:eastAsia="Arial"/>
                <w:b w:val="0"/>
                <w:i/>
                <w:sz w:val="21"/>
              </w:rPr>
              <w:t>carpe diem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se aplique a la juventud actual (pantallas, filtros de belleza, prisa). Después explica en un párrafo: ¿es parodia, pastiche o transposición? ¿Qué elementos del hipotexto conservaste y qué sentido nuevo produjiste?</w:t>
            </w:r>
          </w:p>
        </w:tc>
      </w:tr>
    </w:tbl>
    <w:p>
      <w:pPr>
        <w:spacing w:after="0" w:before="0" w:line="80" w:lineRule="exact"/>
      </w:pPr>
      <w:r>
        <w:rPr>
          <w:sz w:val="4"/>
        </w:rPr>
      </w:r>
    </w:p>
    <w:p>
      <w:pPr>
        <w:keepNext/>
        <w:shd w:val="clear" w:color="auto" w:fill="0070C0"/>
        <w:spacing w:before="120" w:after="80"/>
      </w:pPr>
      <w:r>
        <w:rPr>
          <w:rFonts w:ascii="Arial" w:hAnsi="Arial" w:eastAsia="Arial"/>
          <w:b/>
          <w:i w:val="0"/>
          <w:color w:val="FFFFFF"/>
          <w:sz w:val="24"/>
        </w:rPr>
        <w:t xml:space="preserve"> BLOQUE C · ANÁLISIS DEL DISCURSO EN MEDIOS DIGITALES</w:t>
      </w:r>
    </w:p>
    <w:tbl>
      <w:tblPr>
        <w:tblW w:w="878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8788"/>
      </w:tblGrid>
      <w:tr>
        <w:trPr>
          <w:cantSplit/>
        </w:trPr>
        <w:tc>
          <w:tcPr>
            <w:tcW w:type="dxa" w:w="8787"/>
          </w:tcPr>
          <w:p>
            <w:pPr>
              <w:keepNext/>
              <w:spacing w:before="0" w:after="80" w:line="259" w:lineRule="auto"/>
              <w:jc w:val="both"/>
            </w:pPr>
            <w:r>
              <w:rPr>
                <w:rFonts w:ascii="Arial" w:hAnsi="Arial" w:eastAsia="Arial"/>
                <w:b w:val="0"/>
                <w:i/>
                <w:sz w:val="22"/>
              </w:rPr>
              <w:t>Dos medios digitales (inventados) publicaron el mismo hecho: la Alcaldía cerrará la avenida principal los domingos para crear un corredor peatonal. Resuelve el punto 5.</w:t>
            </w:r>
          </w:p>
          <w:p>
            <w:pPr>
              <w:keepNext w:val="0"/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0" cy="3368377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4_139621298527536_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0" cy="33683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80" w:lineRule="exact"/>
      </w:pPr>
      <w:r>
        <w:rPr>
          <w:sz w:val="4"/>
        </w:rPr>
      </w: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623"/>
        <w:gridCol w:w="8164"/>
      </w:tblGrid>
      <w:tr>
        <w:trPr>
          <w:cantSplit/>
        </w:trPr>
        <w:tc>
          <w:tcPr>
            <w:tcW w:type="dxa" w:w="624"/>
            <w:shd w:val="clear" w:color="auto" w:fill="C00000"/>
          </w:tcPr>
          <w:p>
            <w:pPr>
              <w:keepNext/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5</w:t>
            </w:r>
          </w:p>
        </w:tc>
        <w:tc>
          <w:tcPr>
            <w:tcW w:type="dxa" w:w="8164"/>
          </w:tcPr>
          <w:p>
            <w:pPr>
              <w:keepNext/>
              <w:spacing w:after="2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Analiza el </w:t>
            </w:r>
            <w:r>
              <w:rPr>
                <w:rFonts w:ascii="Arial" w:hAnsi="Arial" w:eastAsia="Arial"/>
                <w:b/>
                <w:i w:val="0"/>
                <w:sz w:val="21"/>
              </w:rPr>
              <w:t>encuadre (framing)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de cada publicación: cómo cada medio selecciona y resalta unos aspectos de la realidad para orientar la interpretación.</w:t>
            </w:r>
          </w:p>
          <w:p>
            <w:pPr>
              <w:keepNext/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a) Completa el cuadro. b) ¿Mienten los medios o seleccionan? Explica la diferencia. c) Redacta una publicación </w:t>
            </w:r>
            <w:r>
              <w:rPr>
                <w:rFonts w:ascii="Arial" w:hAnsi="Arial" w:eastAsia="Arial"/>
                <w:b/>
                <w:i w:val="0"/>
                <w:sz w:val="21"/>
              </w:rPr>
              <w:t>equilibrada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(titular + texto de cuatro líneas) que incluya ambas perspectivas.</w:t>
            </w:r>
          </w:p>
        </w:tc>
      </w:tr>
    </w:tbl>
    <w:p>
      <w:pPr>
        <w:keepNext/>
        <w:spacing w:after="0" w:before="0" w:line="40" w:lineRule="exact"/>
      </w:pPr>
      <w:r>
        <w:rPr>
          <w:sz w:val="4"/>
        </w:rPr>
      </w:r>
    </w:p>
    <w:tbl>
      <w:tblPr>
        <w:tblW w:w="8788" w:type="dxa"/>
        <w:jc w:val="center"/>
        <w:tblBorders>
          <w:top w:val="single" w:sz="6" w:color="7F7F7F"/>
          <w:left w:val="single" w:sz="6" w:color="7F7F7F"/>
          <w:bottom w:val="single" w:sz="6" w:color="7F7F7F"/>
          <w:right w:val="single" w:sz="6" w:color="7F7F7F"/>
          <w:insideH w:val="single" w:sz="6" w:color="7F7F7F"/>
          <w:insideV w:val="single" w:sz="6" w:color="7F7F7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firstColumn="1" w:firstRow="1" w:lastColumn="0" w:lastRow="0" w:noHBand="0" w:noVBand="1" w:val="04A0"/>
      </w:tblPr>
      <w:tblGrid>
        <w:gridCol w:w="3118"/>
        <w:gridCol w:w="2835"/>
        <w:gridCol w:w="2835"/>
      </w:tblGrid>
      <w:tr>
        <w:trPr>
          <w:tblHeader/>
        </w:trPr>
        <w:tc>
          <w:tcPr>
            <w:tcW w:type="dxa" w:w="3118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Categoría de análisis</w:t>
            </w:r>
          </w:p>
        </w:tc>
        <w:tc>
          <w:tcPr>
            <w:tcW w:type="dxa" w:w="2835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Diario Económico Ya</w:t>
            </w:r>
          </w:p>
        </w:tc>
        <w:tc>
          <w:tcPr>
            <w:tcW w:type="dxa" w:w="2835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Ciudad Viva Noticias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8"/>
              </w:rPr>
              <w:t>Actores protagonistas y actores ausentes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</w:p>
        </w:tc>
        <w:tc>
          <w:tcPr>
            <w:tcW w:type="dxa" w:w="2835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3118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8"/>
              </w:rPr>
              <w:t>Léxico valorativo (palabras que juzgan)</w:t>
            </w:r>
          </w:p>
        </w:tc>
        <w:tc>
          <w:tcPr>
            <w:tcW w:type="dxa" w:w="2835"/>
            <w:shd w:val="clear" w:color="auto" w:fill="EEF4FB"/>
          </w:tcPr>
          <w:p>
            <w:pPr>
              <w:spacing w:after="0" w:line="240" w:lineRule="auto"/>
            </w:pPr>
          </w:p>
        </w:tc>
        <w:tc>
          <w:tcPr>
            <w:tcW w:type="dxa" w:w="2835"/>
            <w:shd w:val="clear" w:color="auto" w:fill="EEF4FB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8"/>
              </w:rPr>
              <w:t>Imagen elegida y lo que sugiere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</w:p>
        </w:tc>
        <w:tc>
          <w:tcPr>
            <w:tcW w:type="dxa" w:w="2835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3118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8"/>
              </w:rPr>
              <w:t>Datos que incluye y datos que omite</w:t>
            </w:r>
          </w:p>
        </w:tc>
        <w:tc>
          <w:tcPr>
            <w:tcW w:type="dxa" w:w="2835"/>
            <w:shd w:val="clear" w:color="auto" w:fill="EEF4FB"/>
          </w:tcPr>
          <w:p>
            <w:pPr>
              <w:spacing w:after="0" w:line="240" w:lineRule="auto"/>
            </w:pPr>
          </w:p>
        </w:tc>
        <w:tc>
          <w:tcPr>
            <w:tcW w:type="dxa" w:w="2835"/>
            <w:shd w:val="clear" w:color="auto" w:fill="EEF4FB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8"/>
              </w:rPr>
              <w:t>Hashtags y comunidad a la que convoca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</w:p>
        </w:tc>
        <w:tc>
          <w:tcPr>
            <w:tcW w:type="dxa" w:w="2835"/>
          </w:tcPr>
          <w:p>
            <w:pPr>
              <w:spacing w:after="0" w:line="240" w:lineRule="auto"/>
            </w:pPr>
          </w:p>
        </w:tc>
      </w:tr>
      <w:tr>
        <w:trPr>
          <w:cantSplit/>
        </w:trPr>
        <w:tc>
          <w:tcPr>
            <w:tcW w:type="dxa" w:w="3118"/>
            <w:shd w:val="clear" w:color="auto" w:fill="EEF4FB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i w:val="0"/>
                <w:sz w:val="18"/>
              </w:rPr>
              <w:t>Encuadre dominante (económico, social, conflicto…)</w:t>
            </w:r>
          </w:p>
        </w:tc>
        <w:tc>
          <w:tcPr>
            <w:tcW w:type="dxa" w:w="2835"/>
            <w:shd w:val="clear" w:color="auto" w:fill="EEF4FB"/>
          </w:tcPr>
          <w:p>
            <w:pPr>
              <w:spacing w:after="0" w:line="240" w:lineRule="auto"/>
            </w:pPr>
          </w:p>
        </w:tc>
        <w:tc>
          <w:tcPr>
            <w:tcW w:type="dxa" w:w="2835"/>
            <w:shd w:val="clear" w:color="auto" w:fill="EEF4FB"/>
          </w:tcPr>
          <w:p>
            <w:pPr>
              <w:spacing w:after="0" w:line="240" w:lineRule="auto"/>
            </w:pPr>
          </w:p>
        </w:tc>
      </w:tr>
    </w:tbl>
    <w:p>
      <w:pPr>
        <w:spacing w:after="0" w:before="0" w:line="100" w:lineRule="exact"/>
      </w:pPr>
      <w:r>
        <w:rPr>
          <w:sz w:val="4"/>
        </w:rPr>
      </w:r>
    </w:p>
    <w:tbl>
      <w:tblPr>
        <w:tblW w:w="878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8788"/>
      </w:tblGrid>
      <w:tr>
        <w:trPr>
          <w:cantSplit/>
        </w:trPr>
        <w:tc>
          <w:tcPr>
            <w:tcW w:type="dxa" w:w="8787"/>
          </w:tcPr>
          <w:p>
            <w:pPr>
              <w:keepNext/>
              <w:spacing w:before="0" w:after="80" w:line="259" w:lineRule="auto"/>
              <w:jc w:val="both"/>
            </w:pPr>
            <w:r>
              <w:rPr>
                <w:rFonts w:ascii="Arial" w:hAnsi="Arial" w:eastAsia="Arial"/>
                <w:b w:val="0"/>
                <w:i/>
                <w:sz w:val="22"/>
              </w:rPr>
              <w:t>Observa la publicación de una influenciadora (cuenta y marca inventadas) y resuelve el punto 6.</w:t>
            </w:r>
          </w:p>
          <w:p>
            <w:pPr>
              <w:keepNext w:val="0"/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92000" cy="2799262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4_139621298527536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27992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80" w:lineRule="exact"/>
      </w:pPr>
      <w:r>
        <w:rPr>
          <w:sz w:val="4"/>
        </w:rPr>
      </w: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623"/>
        <w:gridCol w:w="8164"/>
      </w:tblGrid>
      <w:tr>
        <w:trPr>
          <w:cantSplit/>
        </w:trPr>
        <w:tc>
          <w:tcPr>
            <w:tcW w:type="dxa" w:w="624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6</w:t>
            </w:r>
          </w:p>
        </w:tc>
        <w:tc>
          <w:tcPr>
            <w:tcW w:type="dxa" w:w="8164"/>
          </w:tcPr>
          <w:p>
            <w:pPr>
              <w:spacing w:after="2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a) Identifica las estrategias discursivas: </w:t>
            </w:r>
            <w:r>
              <w:rPr>
                <w:rFonts w:ascii="Arial" w:hAnsi="Arial" w:eastAsia="Arial"/>
                <w:b/>
                <w:i w:val="0"/>
                <w:sz w:val="21"/>
              </w:rPr>
              <w:t>ethos digital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(¿por qué le creen?), apelación a la identidad del seguidor, testimonio personal y llamada a la acción.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b) La publicación dice «nadie me pagó», pero incluye un código de descuento y etiqueta a la marca. Explica qué es la </w:t>
            </w:r>
            <w:r>
              <w:rPr>
                <w:rFonts w:ascii="Arial" w:hAnsi="Arial" w:eastAsia="Arial"/>
                <w:b/>
                <w:i w:val="0"/>
                <w:sz w:val="21"/>
              </w:rPr>
              <w:t>publicidad encubierta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y por qué es un problema ético. En Colombia, la Superintendencia de Industria y Comercio publicó una guía de buenas prácticas que pide identificar claramente el contenido publicitario de los influenciadores.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c) ¿Qué riesgos tiene recomendar una bebida energizante a estudiantes? ¿Qué responsabilidad tiene alguien con 1,8 millones de seguidores?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d) Reescribe la publicación de forma </w:t>
            </w:r>
            <w:r>
              <w:rPr>
                <w:rFonts w:ascii="Arial" w:hAnsi="Arial" w:eastAsia="Arial"/>
                <w:b/>
                <w:i w:val="0"/>
                <w:sz w:val="21"/>
              </w:rPr>
              <w:t>transparente y responsable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.</w:t>
            </w:r>
          </w:p>
        </w:tc>
      </w:tr>
    </w:tbl>
    <w:p>
      <w:pPr>
        <w:spacing w:after="0" w:before="0" w:line="80" w:lineRule="exact"/>
      </w:pPr>
      <w:r>
        <w:rPr>
          <w:sz w:val="4"/>
        </w:rPr>
      </w:r>
    </w:p>
    <w:p>
      <w:pPr>
        <w:keepNext/>
        <w:shd w:val="clear" w:color="auto" w:fill="0070C0"/>
        <w:spacing w:before="120" w:after="80"/>
      </w:pPr>
      <w:r>
        <w:rPr>
          <w:rFonts w:ascii="Arial" w:hAnsi="Arial" w:eastAsia="Arial"/>
          <w:b/>
          <w:i w:val="0"/>
          <w:color w:val="FFFFFF"/>
          <w:sz w:val="24"/>
        </w:rPr>
        <w:t xml:space="preserve"> BLOQUE D · FAKE NEWS</w:t>
      </w:r>
    </w:p>
    <w:tbl>
      <w:tblPr>
        <w:tblW w:w="878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8788"/>
      </w:tblGrid>
      <w:tr>
        <w:trPr>
          <w:cantSplit/>
        </w:trPr>
        <w:tc>
          <w:tcPr>
            <w:tcW w:type="dxa" w:w="8787"/>
          </w:tcPr>
          <w:p>
            <w:pPr>
              <w:keepNext/>
              <w:spacing w:before="0" w:after="80" w:line="259" w:lineRule="auto"/>
              <w:jc w:val="both"/>
            </w:pPr>
            <w:r>
              <w:rPr>
                <w:rFonts w:ascii="Arial" w:hAnsi="Arial" w:eastAsia="Arial"/>
                <w:b w:val="0"/>
                <w:i/>
                <w:sz w:val="22"/>
              </w:rPr>
              <w:t>Esta imagen circula cada cierto tiempo en redes y cadenas de mensajería. Resuelve los puntos 7 y 8.</w:t>
            </w:r>
          </w:p>
          <w:p>
            <w:pPr>
              <w:keepNext w:val="0"/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20000" cy="2100296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4_139621298527536_3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000" cy="21002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80" w:lineRule="exact"/>
      </w:pPr>
      <w:r>
        <w:rPr>
          <w:sz w:val="4"/>
        </w:rPr>
      </w: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623"/>
        <w:gridCol w:w="8164"/>
      </w:tblGrid>
      <w:tr>
        <w:trPr>
          <w:cantSplit/>
        </w:trPr>
        <w:tc>
          <w:tcPr>
            <w:tcW w:type="dxa" w:w="624"/>
            <w:shd w:val="clear" w:color="auto" w:fill="C0000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7</w:t>
            </w:r>
          </w:p>
        </w:tc>
        <w:tc>
          <w:tcPr>
            <w:tcW w:type="dxa" w:w="8164"/>
          </w:tcPr>
          <w:p>
            <w:pPr>
              <w:spacing w:after="20"/>
              <w:jc w:val="both"/>
            </w:pPr>
            <w:r>
              <w:rPr>
                <w:rFonts w:ascii="Arial" w:hAnsi="Arial" w:eastAsia="Arial"/>
                <w:b/>
                <w:i w:val="0"/>
                <w:sz w:val="21"/>
              </w:rPr>
              <w:t>Un caso real de atribución falsa.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El texto «La marioneta», que circula desde hace años como «poema de despedida» de Gabriel García Márquez, </w:t>
            </w:r>
            <w:r>
              <w:rPr>
                <w:rFonts w:ascii="Arial" w:hAnsi="Arial" w:eastAsia="Arial"/>
                <w:b/>
                <w:i w:val="0"/>
                <w:sz w:val="21"/>
              </w:rPr>
              <w:t>no fue escrito por él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: su autor es el humorista y ventrílocuo mexicano </w:t>
            </w:r>
            <w:r>
              <w:rPr>
                <w:rFonts w:ascii="Arial" w:hAnsi="Arial" w:eastAsia="Arial"/>
                <w:b/>
                <w:i w:val="0"/>
                <w:sz w:val="21"/>
              </w:rPr>
              <w:t>Johnny Welch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. El propio García Márquez lo desmintió públicamente.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a) Investiga el caso y explica cómo se produjo la atribución falsa. b) ¿Por qué una </w:t>
            </w:r>
            <w:r>
              <w:rPr>
                <w:rFonts w:ascii="Arial" w:hAnsi="Arial" w:eastAsia="Arial"/>
                <w:b/>
                <w:i w:val="0"/>
                <w:sz w:val="21"/>
              </w:rPr>
              <w:t>cita apócrifa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atribuida a una persona famosa se difunde tanto? Relaciónalo con la autoridad, la emoción y la falta de verificación. c) Un estudio del MIT publicado en la revista </w:t>
            </w:r>
            <w:r>
              <w:rPr>
                <w:rFonts w:ascii="Arial" w:hAnsi="Arial" w:eastAsia="Arial"/>
                <w:b w:val="0"/>
                <w:i/>
                <w:sz w:val="21"/>
              </w:rPr>
              <w:t>Science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(2018) encontró que, en Twitter, las noticias falsas tenían alrededor de un </w:t>
            </w:r>
            <w:r>
              <w:rPr>
                <w:rFonts w:ascii="Arial" w:hAnsi="Arial" w:eastAsia="Arial"/>
                <w:b/>
                <w:i w:val="0"/>
                <w:sz w:val="21"/>
              </w:rPr>
              <w:t>70 % más de probabilidad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de ser compartidas que las verdaderas. ¿Qué explicación das a ese resultado? d) ¿Qué daño hace la atribución falsa al autor real, al escritor famoso y a los lectores?</w:t>
            </w:r>
          </w:p>
        </w:tc>
      </w:tr>
    </w:tbl>
    <w:p>
      <w:pPr>
        <w:spacing w:after="0" w:before="0" w:line="80" w:lineRule="exact"/>
      </w:pPr>
      <w:r>
        <w:rPr>
          <w:sz w:val="4"/>
        </w:rPr>
      </w: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623"/>
        <w:gridCol w:w="8164"/>
      </w:tblGrid>
      <w:tr>
        <w:trPr>
          <w:cantSplit/>
        </w:trPr>
        <w:tc>
          <w:tcPr>
            <w:tcW w:type="dxa" w:w="624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8</w:t>
            </w:r>
          </w:p>
        </w:tc>
        <w:tc>
          <w:tcPr>
            <w:tcW w:type="dxa" w:w="8164"/>
          </w:tcPr>
          <w:p>
            <w:pPr>
              <w:spacing w:after="2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Escribe una </w:t>
            </w:r>
            <w:r>
              <w:rPr>
                <w:rFonts w:ascii="Arial" w:hAnsi="Arial" w:eastAsia="Arial"/>
                <w:b/>
                <w:i w:val="0"/>
                <w:sz w:val="21"/>
              </w:rPr>
              <w:t>nota de verificación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al estilo de los medios de </w:t>
            </w:r>
            <w:r>
              <w:rPr>
                <w:rFonts w:ascii="Arial" w:hAnsi="Arial" w:eastAsia="Arial"/>
                <w:b w:val="0"/>
                <w:i/>
                <w:sz w:val="21"/>
              </w:rPr>
              <w:t>fact-checking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(como ColombiaCheck) sobre la imagen de «La marioneta» o sobre otro contenido dudoso que hayas visto en redes. Debe tener: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/>
                <w:i w:val="0"/>
                <w:sz w:val="21"/>
              </w:rPr>
              <w:t>1)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Afirmación que se verifica. </w:t>
            </w:r>
            <w:r>
              <w:rPr>
                <w:rFonts w:ascii="Arial" w:hAnsi="Arial" w:eastAsia="Arial"/>
                <w:b/>
                <w:i w:val="0"/>
                <w:sz w:val="21"/>
              </w:rPr>
              <w:t>2)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Calificación: verdadero, engañoso, falso o sin evidencia suficiente. </w:t>
            </w:r>
            <w:r>
              <w:rPr>
                <w:rFonts w:ascii="Arial" w:hAnsi="Arial" w:eastAsia="Arial"/>
                <w:b/>
                <w:i w:val="0"/>
                <w:sz w:val="21"/>
              </w:rPr>
              <w:t>3)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Procedimiento: lectura lateral, búsqueda inversa de imágenes, consulta de fuentes originales. </w:t>
            </w:r>
            <w:r>
              <w:rPr>
                <w:rFonts w:ascii="Arial" w:hAnsi="Arial" w:eastAsia="Arial"/>
                <w:b/>
                <w:i w:val="0"/>
                <w:sz w:val="21"/>
              </w:rPr>
              <w:t>4)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Evidencias encontradas con sus fuentes. </w:t>
            </w:r>
            <w:r>
              <w:rPr>
                <w:rFonts w:ascii="Arial" w:hAnsi="Arial" w:eastAsia="Arial"/>
                <w:b/>
                <w:i w:val="0"/>
                <w:sz w:val="21"/>
              </w:rPr>
              <w:t>5)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Conclusión y recomendación al lector (mínimo una página en total).</w:t>
            </w:r>
          </w:p>
        </w:tc>
      </w:tr>
    </w:tbl>
    <w:p>
      <w:pPr>
        <w:spacing w:after="0" w:before="0" w:line="80" w:lineRule="exact"/>
      </w:pPr>
      <w:r>
        <w:rPr>
          <w:sz w:val="4"/>
        </w:rPr>
      </w:r>
    </w:p>
    <w:p>
      <w:pPr>
        <w:keepNext/>
        <w:shd w:val="clear" w:color="auto" w:fill="0070C0"/>
        <w:spacing w:before="120" w:after="80"/>
      </w:pPr>
      <w:r>
        <w:rPr>
          <w:rFonts w:ascii="Arial" w:hAnsi="Arial" w:eastAsia="Arial"/>
          <w:b/>
          <w:i w:val="0"/>
          <w:color w:val="FFFFFF"/>
          <w:sz w:val="24"/>
        </w:rPr>
        <w:t xml:space="preserve"> BLOQUE E · LECTURA MULTIMODAL</w:t>
      </w:r>
    </w:p>
    <w:tbl>
      <w:tblPr>
        <w:tblW w:w="878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8788"/>
      </w:tblGrid>
      <w:tr>
        <w:trPr>
          <w:cantSplit/>
        </w:trPr>
        <w:tc>
          <w:tcPr>
            <w:tcW w:type="dxa" w:w="8787"/>
          </w:tcPr>
          <w:p>
            <w:pPr>
              <w:keepNext/>
              <w:spacing w:before="0" w:after="80" w:line="259" w:lineRule="auto"/>
              <w:jc w:val="both"/>
            </w:pPr>
            <w:r>
              <w:rPr>
                <w:rFonts w:ascii="Arial" w:hAnsi="Arial" w:eastAsia="Arial"/>
                <w:b w:val="0"/>
                <w:i/>
                <w:sz w:val="22"/>
              </w:rPr>
              <w:t>Lee la infografía integrando el título, la gráfica, los colores, las cifras y los textos laterales. Resuelve el punto 9.</w:t>
            </w:r>
          </w:p>
          <w:p>
            <w:pPr>
              <w:keepNext w:val="0"/>
              <w:spacing w:after="2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00000" cy="3170455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4_139621298527536_4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0" cy="31704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80" w:lineRule="exact"/>
      </w:pPr>
      <w:r>
        <w:rPr>
          <w:sz w:val="4"/>
        </w:rPr>
      </w: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623"/>
        <w:gridCol w:w="8164"/>
      </w:tblGrid>
      <w:tr>
        <w:trPr>
          <w:cantSplit/>
        </w:trPr>
        <w:tc>
          <w:tcPr>
            <w:tcW w:type="dxa" w:w="624"/>
            <w:shd w:val="clear" w:color="auto" w:fill="C0000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9</w:t>
            </w:r>
          </w:p>
        </w:tc>
        <w:tc>
          <w:tcPr>
            <w:tcW w:type="dxa" w:w="8164"/>
          </w:tcPr>
          <w:p>
            <w:pPr>
              <w:spacing w:after="2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a) Calcula la diferencia entre Colombia y el promedio OCDE en matemáticas y en ciencias. ¿En qué área la brecha es mayor? ¿Qué porcentaje del puntaje OCDE alcanza Colombia en lectura?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b) Analiza cómo se combinan los </w:t>
            </w:r>
            <w:r>
              <w:rPr>
                <w:rFonts w:ascii="Arial" w:hAnsi="Arial" w:eastAsia="Arial"/>
                <w:b/>
                <w:i w:val="0"/>
                <w:sz w:val="21"/>
              </w:rPr>
              <w:t>modos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(verbal, numérico, visual, cromático): ¿por qué el «67 puntos» está en rojo y en gran tamaño? ¿Qué efecto busca el ícono del libro con la frase «Leer bien es pensar bien»?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c) Compara esta gráfica con las gráficas engañosas que has estudiado: ¿el eje vertical empieza en cero? ¿Por qué eso la hace más honesta?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d) </w:t>
            </w:r>
            <w:r>
              <w:rPr>
                <w:rFonts w:ascii="Arial" w:hAnsi="Arial" w:eastAsia="Arial"/>
                <w:b/>
                <w:i w:val="0"/>
                <w:sz w:val="21"/>
              </w:rPr>
              <w:t>Lectura crítica: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¿qué información falta para interpretar bien los resultados (diferencias entre regiones, colegios públicos y privados, zonas rurales)? ¿Es justa la conclusión implícita de la infografía?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e) Diseña en tu cuaderno una </w:t>
            </w:r>
            <w:r>
              <w:rPr>
                <w:rFonts w:ascii="Arial" w:hAnsi="Arial" w:eastAsia="Arial"/>
                <w:b/>
                <w:i w:val="0"/>
                <w:sz w:val="21"/>
              </w:rPr>
              <w:t>infografía propia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sobre los hábitos de lectura de tu curso (haz una encuesta a 15 compañeros) que combine al menos cuatro modos.</w:t>
            </w:r>
          </w:p>
        </w:tc>
      </w:tr>
    </w:tbl>
    <w:p>
      <w:pPr>
        <w:spacing w:after="0" w:before="0" w:line="80" w:lineRule="exact"/>
      </w:pPr>
      <w:r>
        <w:rPr>
          <w:sz w:val="4"/>
        </w:rPr>
      </w:r>
    </w:p>
    <w:p>
      <w:pPr>
        <w:keepNext/>
        <w:shd w:val="clear" w:color="auto" w:fill="0070C0"/>
        <w:spacing w:before="120" w:after="80"/>
      </w:pPr>
      <w:r>
        <w:rPr>
          <w:rFonts w:ascii="Arial" w:hAnsi="Arial" w:eastAsia="Arial"/>
          <w:b/>
          <w:i w:val="0"/>
          <w:color w:val="FFFFFF"/>
          <w:sz w:val="24"/>
        </w:rPr>
        <w:t xml:space="preserve"> BLOQUE F · INFERENCIA Y NIVELES DE LECTURA CRÍTICA</w:t>
      </w:r>
    </w:p>
    <w:tbl>
      <w:tblPr>
        <w:tblW w:w="8788" w:type="dxa"/>
        <w:jc w:val="center"/>
        <w:tblBorders>
          <w:top w:val="single" w:sz="12" w:color="E07B00"/>
          <w:left w:val="single" w:sz="12" w:color="E07B00"/>
          <w:bottom w:val="single" w:sz="12" w:color="E07B00"/>
          <w:right w:val="single" w:sz="12" w:color="E07B00"/>
          <w:insideH w:val="single" w:sz="12" w:color="E07B00"/>
          <w:insideV w:val="single" w:sz="12" w:color="E07B00"/>
        </w:tblBorders>
        <w:tblLayout w:type="fixed"/>
        <w:tblCellMar>
          <w:top w:w="80" w:type="dxa"/>
          <w:left w:w="140" w:type="dxa"/>
          <w:bottom w:w="80" w:type="dxa"/>
          <w:right w:w="140" w:type="dxa"/>
        </w:tblCellMar>
        <w:tblLook w:firstColumn="1" w:firstRow="1" w:lastColumn="0" w:lastRow="0" w:noHBand="0" w:noVBand="1" w:val="04A0"/>
      </w:tblPr>
      <w:tblGrid>
        <w:gridCol w:w="8788"/>
      </w:tblGrid>
      <w:tr>
        <w:tc>
          <w:tcPr>
            <w:tcW w:type="dxa" w:w="8787"/>
            <w:shd w:val="clear" w:color="auto" w:fill="FFF6E5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002060"/>
                <w:sz w:val="22"/>
              </w:rPr>
              <w:t>📰 «Manual para sobrevivir sin leer» (columna escrita para este taller)</w:t>
            </w:r>
          </w:p>
          <w:p>
            <w:pPr>
              <w:spacing w:after="4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Primero, desconfíe de cualquier texto de más de tres renglones: si fuera importante, alguien ya lo habría convertido en un video de quince segundos. Segundo, cuando alguien le recomiende un libro, asienta con entusiasmo y busque el resumen; si el resumen también es largo, busque el resumen del resumen. Tercero, comparta las noticias por el título: leer la nota completa es una pérdida de tiempo que solo practican los ingenuos que todavía creen que los titulares pueden mentir.</w:t>
            </w:r>
          </w:p>
          <w:p>
            <w:pPr>
              <w:spacing w:after="4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>Cuarto, si tiene dudas, apoye la opinión con más «me gusta»: la verdad, como todo el mundo sabe, se decide por mayoría. Por último, nunca se pregunte quién escribió lo que usted lee ni para qué lo escribió. Pensar cansa, y usted merece descansar. Siguiendo estas cinco sencillas reglas obtendrá lo que tantos desean: no equivocarse nunca, porque jamás habrá pensado lo suficiente como para dudar.</w:t>
            </w:r>
          </w:p>
        </w:tc>
      </w:tr>
    </w:tbl>
    <w:p>
      <w:pPr>
        <w:spacing w:after="0" w:before="0" w:line="100" w:lineRule="exact"/>
      </w:pPr>
      <w:r>
        <w:rPr>
          <w:sz w:val="4"/>
        </w:rPr>
      </w: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623"/>
        <w:gridCol w:w="8164"/>
      </w:tblGrid>
      <w:tr>
        <w:trPr>
          <w:cantSplit/>
        </w:trPr>
        <w:tc>
          <w:tcPr>
            <w:tcW w:type="dxa" w:w="624"/>
            <w:shd w:val="clear" w:color="auto" w:fill="0070C0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24"/>
              </w:rPr>
              <w:t>10</w:t>
            </w:r>
          </w:p>
        </w:tc>
        <w:tc>
          <w:tcPr>
            <w:tcW w:type="dxa" w:w="8164"/>
          </w:tcPr>
          <w:p>
            <w:pPr>
              <w:spacing w:after="2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Responde las preguntas de selección múltiple y </w:t>
            </w:r>
            <w:r>
              <w:rPr>
                <w:rFonts w:ascii="Arial" w:hAnsi="Arial" w:eastAsia="Arial"/>
                <w:b/>
                <w:i w:val="0"/>
                <w:sz w:val="21"/>
              </w:rPr>
              <w:t>justifica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cada una con una evidencia del texto: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1) </w:t>
            </w:r>
            <w:r>
              <w:rPr>
                <w:rFonts w:ascii="Arial" w:hAnsi="Arial" w:eastAsia="Arial"/>
                <w:b/>
                <w:i w:val="0"/>
                <w:sz w:val="21"/>
              </w:rPr>
              <w:t>(Literal)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Según el texto, cuando alguien recomienda un libro hay que: A) leerlo de inmediato. B) buscar su resumen. C) comprarlo. D) rechazarlo.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2) </w:t>
            </w:r>
            <w:r>
              <w:rPr>
                <w:rFonts w:ascii="Arial" w:hAnsi="Arial" w:eastAsia="Arial"/>
                <w:b/>
                <w:i w:val="0"/>
                <w:sz w:val="21"/>
              </w:rPr>
              <w:t>(Inferencial)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El principal recurso del texto es: A) la ironía: dice lo contrario de lo que el autor piensa. B) la descripción objetiva. C) la narración de hechos reales. D) la definición científica.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3) </w:t>
            </w:r>
            <w:r>
              <w:rPr>
                <w:rFonts w:ascii="Arial" w:hAnsi="Arial" w:eastAsia="Arial"/>
                <w:b/>
                <w:i w:val="0"/>
                <w:sz w:val="21"/>
              </w:rPr>
              <w:t>(Inferencial)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Al hablar de «los ingenuos que todavía creen que los titulares pueden mentir», el autor da a entender que: A) los titulares nunca mienten. B) los titulares sí pueden mentir o engañar. C) los lectores son ingenuos. D) las noticias son innecesarias.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4) </w:t>
            </w:r>
            <w:r>
              <w:rPr>
                <w:rFonts w:ascii="Arial" w:hAnsi="Arial" w:eastAsia="Arial"/>
                <w:b/>
                <w:i w:val="0"/>
                <w:sz w:val="21"/>
              </w:rPr>
              <w:t>(Inferencial)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La afirmación «la verdad se decide por mayoría» critica: A) la democracia. B) la falacia de creer que algo es verdadero porque es popular. C) las redes sociales en general. D) a quienes no votan.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5) </w:t>
            </w:r>
            <w:r>
              <w:rPr>
                <w:rFonts w:ascii="Arial" w:hAnsi="Arial" w:eastAsia="Arial"/>
                <w:b/>
                <w:i w:val="0"/>
                <w:sz w:val="21"/>
              </w:rPr>
              <w:t>(Crítico)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La intención comunicativa del texto es: A) enseñar a resumir. B) criticar los hábitos de lectura superficial que favorecen la desinformación. C) promover los videos cortos. D) informar sobre estadísticas de lectura.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6) </w:t>
            </w:r>
            <w:r>
              <w:rPr>
                <w:rFonts w:ascii="Arial" w:hAnsi="Arial" w:eastAsia="Arial"/>
                <w:b/>
                <w:i w:val="0"/>
                <w:sz w:val="21"/>
              </w:rPr>
              <w:t>(Crítico-intertextual)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El texto imita la forma de: A) una noticia. B) un texto instructivo, como las «Instrucciones» de Julio Cortázar en </w:t>
            </w:r>
            <w:r>
              <w:rPr>
                <w:rFonts w:ascii="Arial" w:hAnsi="Arial" w:eastAsia="Arial"/>
                <w:b w:val="0"/>
                <w:i/>
                <w:sz w:val="21"/>
              </w:rPr>
              <w:t>Historias de cronopios y de famas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>. C) una carta formal. D) un poema.</w:t>
            </w:r>
          </w:p>
          <w:p>
            <w:pPr>
              <w:spacing w:after="20"/>
              <w:ind w:left="170"/>
              <w:jc w:val="both"/>
            </w:pPr>
            <w:r>
              <w:rPr>
                <w:rFonts w:ascii="Arial" w:hAnsi="Arial" w:eastAsia="Arial"/>
                <w:b/>
                <w:i w:val="0"/>
                <w:sz w:val="21"/>
              </w:rPr>
              <w:t>Preguntas abiertas: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g) Relaciona cada una de las cinco «reglas» con un fenómeno estudiado en este taller (clickbait, falacia </w:t>
            </w:r>
            <w:r>
              <w:rPr>
                <w:rFonts w:ascii="Arial" w:hAnsi="Arial" w:eastAsia="Arial"/>
                <w:b w:val="0"/>
                <w:i/>
                <w:sz w:val="21"/>
              </w:rPr>
              <w:t>ad populum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, cámara de eco, atribución falsa, lectura superficial). h) Explica por qué el final es una </w:t>
            </w:r>
            <w:r>
              <w:rPr>
                <w:rFonts w:ascii="Arial" w:hAnsi="Arial" w:eastAsia="Arial"/>
                <w:b/>
                <w:i w:val="0"/>
                <w:sz w:val="21"/>
              </w:rPr>
              <w:t>paradoja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. i) Reescribe el texto como un </w:t>
            </w:r>
            <w:r>
              <w:rPr>
                <w:rFonts w:ascii="Arial" w:hAnsi="Arial" w:eastAsia="Arial"/>
                <w:b/>
                <w:i w:val="0"/>
                <w:sz w:val="21"/>
              </w:rPr>
              <w:t>párrafo argumentativo serio</w:t>
            </w:r>
            <w:r>
              <w:rPr>
                <w:rFonts w:ascii="Arial" w:hAnsi="Arial" w:eastAsia="Arial"/>
                <w:b w:val="0"/>
                <w:i w:val="0"/>
                <w:sz w:val="21"/>
              </w:rPr>
              <w:t xml:space="preserve"> (sin ironía) que defienda la misma idea del autor.</w:t>
            </w:r>
          </w:p>
        </w:tc>
      </w:tr>
    </w:tbl>
    <w:p>
      <w:pPr>
        <w:spacing w:after="0" w:before="0" w:line="80" w:lineRule="exact"/>
      </w:pPr>
      <w:r>
        <w:rPr>
          <w:sz w:val="4"/>
        </w:rPr>
      </w:r>
    </w:p>
    <w:sectPr w:rsidR="00DE5C3A" w:rsidSect="00AB118F">
      <w:pgSz w:w="12240" w:h="20160" w:code="5"/>
      <w:pgMar w:top="5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1365"/>
    <w:multiLevelType w:val="multilevel"/>
    <w:tmpl w:val="58EA977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8F5B9E"/>
    <w:multiLevelType w:val="multilevel"/>
    <w:tmpl w:val="E8D86D8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0257AD"/>
    <w:multiLevelType w:val="multilevel"/>
    <w:tmpl w:val="A29E0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3C0535"/>
    <w:multiLevelType w:val="multilevel"/>
    <w:tmpl w:val="C4663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AB69D5"/>
    <w:multiLevelType w:val="hybridMultilevel"/>
    <w:tmpl w:val="A9D8443A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4746E7"/>
    <w:multiLevelType w:val="multilevel"/>
    <w:tmpl w:val="B11C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8502C0"/>
    <w:multiLevelType w:val="multilevel"/>
    <w:tmpl w:val="3C308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0E2FA2"/>
    <w:multiLevelType w:val="multilevel"/>
    <w:tmpl w:val="0C20A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2E2CE9"/>
    <w:multiLevelType w:val="multilevel"/>
    <w:tmpl w:val="4B9C3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724D4C"/>
    <w:multiLevelType w:val="hybridMultilevel"/>
    <w:tmpl w:val="5678A92C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FA2DC4"/>
    <w:multiLevelType w:val="multilevel"/>
    <w:tmpl w:val="D508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4A3BE4"/>
    <w:multiLevelType w:val="multilevel"/>
    <w:tmpl w:val="C540C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7E16CC"/>
    <w:multiLevelType w:val="multilevel"/>
    <w:tmpl w:val="80220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274465"/>
    <w:multiLevelType w:val="multilevel"/>
    <w:tmpl w:val="234A4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626ADD"/>
    <w:multiLevelType w:val="multilevel"/>
    <w:tmpl w:val="CB62E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E30DB1"/>
    <w:multiLevelType w:val="multilevel"/>
    <w:tmpl w:val="E036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6535B0"/>
    <w:multiLevelType w:val="multilevel"/>
    <w:tmpl w:val="C9C41C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2670185">
    <w:abstractNumId w:val="6"/>
  </w:num>
  <w:num w:numId="2" w16cid:durableId="731543232">
    <w:abstractNumId w:val="14"/>
  </w:num>
  <w:num w:numId="3" w16cid:durableId="1913929145">
    <w:abstractNumId w:val="10"/>
  </w:num>
  <w:num w:numId="4" w16cid:durableId="992879846">
    <w:abstractNumId w:val="4"/>
  </w:num>
  <w:num w:numId="5" w16cid:durableId="312023513">
    <w:abstractNumId w:val="9"/>
  </w:num>
  <w:num w:numId="6" w16cid:durableId="553934494">
    <w:abstractNumId w:val="11"/>
  </w:num>
  <w:num w:numId="7" w16cid:durableId="710959698">
    <w:abstractNumId w:val="5"/>
  </w:num>
  <w:num w:numId="8" w16cid:durableId="1842576555">
    <w:abstractNumId w:val="2"/>
  </w:num>
  <w:num w:numId="9" w16cid:durableId="1952275797">
    <w:abstractNumId w:val="13"/>
  </w:num>
  <w:num w:numId="10" w16cid:durableId="1183981488">
    <w:abstractNumId w:val="15"/>
  </w:num>
  <w:num w:numId="11" w16cid:durableId="350956073">
    <w:abstractNumId w:val="3"/>
  </w:num>
  <w:num w:numId="12" w16cid:durableId="377969922">
    <w:abstractNumId w:val="8"/>
  </w:num>
  <w:num w:numId="13" w16cid:durableId="1827041927">
    <w:abstractNumId w:val="16"/>
  </w:num>
  <w:num w:numId="14" w16cid:durableId="2090611547">
    <w:abstractNumId w:val="1"/>
  </w:num>
  <w:num w:numId="15" w16cid:durableId="1500921535">
    <w:abstractNumId w:val="0"/>
  </w:num>
  <w:num w:numId="16" w16cid:durableId="231044684">
    <w:abstractNumId w:val="7"/>
  </w:num>
  <w:num w:numId="17" w16cid:durableId="5337382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440"/>
    <w:rsid w:val="000D2554"/>
    <w:rsid w:val="00167440"/>
    <w:rsid w:val="001B46F9"/>
    <w:rsid w:val="001E2B61"/>
    <w:rsid w:val="00344AD6"/>
    <w:rsid w:val="003D73AB"/>
    <w:rsid w:val="003E3590"/>
    <w:rsid w:val="004D4FD7"/>
    <w:rsid w:val="00550245"/>
    <w:rsid w:val="00656D8E"/>
    <w:rsid w:val="006E278F"/>
    <w:rsid w:val="0088207A"/>
    <w:rsid w:val="00A27155"/>
    <w:rsid w:val="00AB118F"/>
    <w:rsid w:val="00AD7052"/>
    <w:rsid w:val="00AF3B49"/>
    <w:rsid w:val="00BF1073"/>
    <w:rsid w:val="00C217D0"/>
    <w:rsid w:val="00CD21F5"/>
    <w:rsid w:val="00D06FCA"/>
    <w:rsid w:val="00D128A6"/>
    <w:rsid w:val="00D139C7"/>
    <w:rsid w:val="00DE5C3A"/>
    <w:rsid w:val="00E05E49"/>
    <w:rsid w:val="00E3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178F5"/>
  <w15:chartTrackingRefBased/>
  <w15:docId w15:val="{B0495076-F3B2-43B3-A1CD-39EE3DA0D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1F5"/>
    <w:pPr>
      <w:spacing w:line="252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CD21F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D21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fasis">
    <w:name w:val="Emphasis"/>
    <w:basedOn w:val="Fuentedeprrafopredeter"/>
    <w:uiPriority w:val="20"/>
    <w:qFormat/>
    <w:rsid w:val="00C217D0"/>
    <w:rPr>
      <w:i/>
      <w:iCs/>
    </w:rPr>
  </w:style>
  <w:style w:type="character" w:customStyle="1" w:styleId="inqyif">
    <w:name w:val="inqyif"/>
    <w:basedOn w:val="Fuentedeprrafopredeter"/>
    <w:rsid w:val="00C217D0"/>
  </w:style>
  <w:style w:type="character" w:styleId="Textoennegrita">
    <w:name w:val="Strong"/>
    <w:basedOn w:val="Fuentedeprrafopredeter"/>
    <w:uiPriority w:val="22"/>
    <w:qFormat/>
    <w:rsid w:val="00C217D0"/>
    <w:rPr>
      <w:b/>
      <w:bCs/>
    </w:rPr>
  </w:style>
  <w:style w:type="paragraph" w:customStyle="1" w:styleId="z1qcye">
    <w:name w:val="z1qcye"/>
    <w:basedOn w:val="Normal"/>
    <w:rsid w:val="00C21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table" w:styleId="Tablaconcuadrcula">
    <w:name w:val="Table Grid"/>
    <w:basedOn w:val="Tablanormal"/>
    <w:uiPriority w:val="39"/>
    <w:rsid w:val="00C21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27155"/>
    <w:pPr>
      <w:spacing w:line="254" w:lineRule="auto"/>
      <w:ind w:left="720"/>
      <w:contextualSpacing/>
    </w:pPr>
  </w:style>
  <w:style w:type="character" w:customStyle="1" w:styleId="ki5pdf">
    <w:name w:val="ki5pdf"/>
    <w:basedOn w:val="Fuentedeprrafopredeter"/>
    <w:rsid w:val="00D128A6"/>
  </w:style>
  <w:style w:type="character" w:styleId="Hipervnculo">
    <w:name w:val="Hyperlink"/>
    <w:basedOn w:val="Fuentedeprrafopredeter"/>
    <w:uiPriority w:val="99"/>
    <w:unhideWhenUsed/>
    <w:rsid w:val="004D4FD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D4F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73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2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21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62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4309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8281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46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77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2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765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4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568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633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5273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885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8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7944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51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6460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4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14685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52441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81532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731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7739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42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03983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1417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144607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5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3372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80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72886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5104">
              <w:marLeft w:val="0"/>
              <w:marRight w:val="0"/>
              <w:marTop w:val="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13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6147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11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14187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8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34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3659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69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785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96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836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6513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54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2793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47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6000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8461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2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9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6404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0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424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47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4503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8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88647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73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29373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01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9123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400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6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1989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5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7455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99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554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8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1420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62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2414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76810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2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0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1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3021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1216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29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75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454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428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67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83431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0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88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41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616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4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6178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33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61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110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604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62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665862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3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5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639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50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94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0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1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624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46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88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18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50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9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81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246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6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9712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982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25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004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87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55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1431</TotalTime>
  <Pages>1</Pages>
  <Words>45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Paola Ramos Paez</dc:creator>
  <cp:keywords/>
  <dc:description/>
  <cp:lastModifiedBy>Angela Paola Ramos Paez</cp:lastModifiedBy>
  <cp:revision>12</cp:revision>
  <dcterms:created xsi:type="dcterms:W3CDTF">2026-09-09T00:46:00Z</dcterms:created>
  <dcterms:modified xsi:type="dcterms:W3CDTF">2026-10-25T16:15:00Z</dcterms:modified>
</cp:coreProperties>
</file>